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8B" w:rsidRPr="004E198B" w:rsidRDefault="004E198B" w:rsidP="004E198B">
      <w:pPr>
        <w:spacing w:after="0"/>
        <w:jc w:val="center"/>
        <w:rPr>
          <w:rFonts w:ascii="Arial" w:eastAsia="Calibri" w:hAnsi="Arial" w:cs="Arial"/>
          <w:b/>
          <w:bCs/>
        </w:rPr>
      </w:pPr>
      <w:r w:rsidRPr="004E198B">
        <w:rPr>
          <w:rFonts w:ascii="Arial" w:eastAsia="Calibri" w:hAnsi="Arial" w:cs="Arial"/>
          <w:b/>
          <w:bCs/>
        </w:rPr>
        <w:t>Prílohy k žiadosti o poskytnutie podpory zo ŠFRB</w:t>
      </w:r>
    </w:p>
    <w:p w:rsidR="004E198B" w:rsidRDefault="004E198B" w:rsidP="004E198B">
      <w:pPr>
        <w:spacing w:after="0"/>
        <w:rPr>
          <w:rFonts w:ascii="Arial" w:eastAsia="Calibri" w:hAnsi="Arial" w:cs="Arial"/>
          <w:b/>
          <w:bCs/>
          <w:u w:val="single"/>
        </w:rPr>
      </w:pPr>
    </w:p>
    <w:p w:rsidR="002D42A9" w:rsidRPr="004E198B" w:rsidRDefault="002D42A9" w:rsidP="004E198B">
      <w:pPr>
        <w:spacing w:after="0"/>
        <w:rPr>
          <w:rFonts w:ascii="Arial" w:eastAsia="Calibri" w:hAnsi="Arial" w:cs="Arial"/>
          <w:b/>
          <w:bCs/>
          <w:u w:val="single"/>
        </w:rPr>
      </w:pPr>
    </w:p>
    <w:p w:rsidR="004E198B" w:rsidRPr="004E198B" w:rsidRDefault="004E198B" w:rsidP="004E198B">
      <w:pPr>
        <w:spacing w:after="0"/>
        <w:rPr>
          <w:rFonts w:ascii="Arial" w:eastAsia="Calibri" w:hAnsi="Arial" w:cs="Arial"/>
          <w:b/>
          <w:bCs/>
        </w:rPr>
      </w:pPr>
      <w:r w:rsidRPr="004E198B">
        <w:rPr>
          <w:rFonts w:ascii="Arial" w:eastAsia="Calibri" w:hAnsi="Arial" w:cs="Arial"/>
          <w:b/>
          <w:bCs/>
          <w:u w:val="single"/>
        </w:rPr>
        <w:t>Kúpa nájomného bytu</w:t>
      </w:r>
      <w:r w:rsidRPr="004E198B">
        <w:rPr>
          <w:rFonts w:ascii="Arial" w:eastAsia="Calibri" w:hAnsi="Arial" w:cs="Arial"/>
          <w:b/>
          <w:bCs/>
        </w:rPr>
        <w:tab/>
      </w:r>
      <w:r w:rsidRPr="004E198B">
        <w:rPr>
          <w:rFonts w:ascii="Arial" w:eastAsia="Calibri" w:hAnsi="Arial" w:cs="Arial"/>
          <w:b/>
          <w:bCs/>
        </w:rPr>
        <w:tab/>
      </w:r>
      <w:r w:rsidRPr="004E198B">
        <w:rPr>
          <w:rFonts w:ascii="Arial" w:eastAsia="Calibri" w:hAnsi="Arial" w:cs="Arial"/>
          <w:b/>
          <w:bCs/>
        </w:rPr>
        <w:tab/>
      </w:r>
      <w:r w:rsidRPr="004E198B">
        <w:rPr>
          <w:rFonts w:ascii="Arial" w:eastAsia="Calibri" w:hAnsi="Arial" w:cs="Arial"/>
          <w:b/>
          <w:bCs/>
        </w:rPr>
        <w:tab/>
      </w:r>
      <w:r w:rsidRPr="004E198B">
        <w:rPr>
          <w:rFonts w:ascii="Arial" w:eastAsia="Calibri" w:hAnsi="Arial" w:cs="Arial"/>
          <w:b/>
          <w:bCs/>
        </w:rPr>
        <w:tab/>
        <w:t xml:space="preserve"> PO (právnická osoba)</w:t>
      </w:r>
    </w:p>
    <w:p w:rsidR="004E198B" w:rsidRPr="004E198B" w:rsidRDefault="004E198B" w:rsidP="004E198B">
      <w:pPr>
        <w:spacing w:after="0"/>
        <w:rPr>
          <w:rFonts w:ascii="Arial" w:eastAsia="Calibri" w:hAnsi="Arial" w:cs="Arial"/>
          <w:b/>
          <w:bCs/>
        </w:rPr>
      </w:pPr>
    </w:p>
    <w:p w:rsidR="004E198B" w:rsidRPr="004E198B" w:rsidRDefault="004E198B" w:rsidP="004E198B">
      <w:pPr>
        <w:keepNext/>
        <w:overflowPunct w:val="0"/>
        <w:autoSpaceDE w:val="0"/>
        <w:autoSpaceDN w:val="0"/>
        <w:adjustRightInd w:val="0"/>
        <w:spacing w:after="0"/>
        <w:jc w:val="both"/>
        <w:outlineLvl w:val="7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E198B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Žiadateľ</w:t>
      </w:r>
      <w:r w:rsidRPr="004E198B">
        <w:rPr>
          <w:rFonts w:ascii="Arial" w:eastAsia="Times New Roman" w:hAnsi="Arial" w:cs="Arial"/>
          <w:bCs/>
          <w:sz w:val="20"/>
          <w:szCs w:val="20"/>
          <w:lang w:eastAsia="cs-CZ"/>
        </w:rPr>
        <w:t>: nezisková organizácia (§7, písm.f zákona 443/2010 Z.z poskytujúca všeobecne prospešné služby na zabezpečenie bývania, správy, údržby a obnovy bytového fondu, ktorej zakladateľom, alebo jedným zo zakladateľov je obec, alebo VÚC, ak ich vklad tvorí najmenej 51% majetku neziskovej organizácie a v správnej rade neziskovej organizácie ich zastupuje nadpolovičný počet členov.</w:t>
      </w:r>
    </w:p>
    <w:p w:rsidR="004E198B" w:rsidRPr="004E198B" w:rsidRDefault="004E198B" w:rsidP="004E198B">
      <w:pPr>
        <w:spacing w:after="0"/>
        <w:rPr>
          <w:rFonts w:ascii="Arial" w:eastAsia="Calibri" w:hAnsi="Arial" w:cs="Arial"/>
          <w:b/>
          <w:bCs/>
        </w:rPr>
      </w:pPr>
    </w:p>
    <w:p w:rsidR="004E198B" w:rsidRPr="004E198B" w:rsidRDefault="004E198B" w:rsidP="004E198B">
      <w:pPr>
        <w:spacing w:after="0"/>
        <w:rPr>
          <w:rFonts w:ascii="Arial" w:eastAsia="Calibri" w:hAnsi="Arial" w:cs="Arial"/>
          <w:b/>
          <w:bCs/>
        </w:rPr>
      </w:pPr>
    </w:p>
    <w:p w:rsidR="004E198B" w:rsidRPr="004E198B" w:rsidRDefault="004E198B" w:rsidP="004E198B">
      <w:pPr>
        <w:spacing w:after="0"/>
        <w:rPr>
          <w:rFonts w:ascii="Arial" w:eastAsia="Calibri" w:hAnsi="Arial" w:cs="Arial"/>
          <w:b/>
          <w:bCs/>
          <w:sz w:val="6"/>
          <w:szCs w:val="6"/>
        </w:rPr>
      </w:pP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4"/>
        <w:gridCol w:w="3429"/>
      </w:tblGrid>
      <w:tr w:rsidR="004E198B" w:rsidRPr="004E198B" w:rsidTr="00D84534">
        <w:tc>
          <w:tcPr>
            <w:tcW w:w="6394" w:type="dxa"/>
            <w:vAlign w:val="center"/>
          </w:tcPr>
          <w:p w:rsidR="004E198B" w:rsidRPr="004E198B" w:rsidRDefault="004E198B" w:rsidP="004E198B">
            <w:pPr>
              <w:spacing w:after="120"/>
              <w:rPr>
                <w:rFonts w:ascii="Arial" w:eastAsia="Calibri" w:hAnsi="Arial" w:cs="Arial"/>
                <w:b/>
              </w:rPr>
            </w:pPr>
            <w:r w:rsidRPr="004E198B">
              <w:rPr>
                <w:rFonts w:ascii="Arial" w:eastAsia="Calibri" w:hAnsi="Arial" w:cs="Arial"/>
                <w:b/>
              </w:rPr>
              <w:t>Žiadateľ:</w:t>
            </w:r>
          </w:p>
        </w:tc>
        <w:tc>
          <w:tcPr>
            <w:tcW w:w="3429" w:type="dxa"/>
            <w:vAlign w:val="center"/>
          </w:tcPr>
          <w:p w:rsidR="004E198B" w:rsidRPr="004E198B" w:rsidRDefault="004E198B" w:rsidP="004E198B">
            <w:pPr>
              <w:spacing w:after="0"/>
              <w:rPr>
                <w:rFonts w:ascii="Arial" w:eastAsia="Calibri" w:hAnsi="Arial" w:cs="Arial"/>
                <w:b/>
              </w:rPr>
            </w:pPr>
            <w:r w:rsidRPr="004E198B">
              <w:rPr>
                <w:rFonts w:ascii="Arial" w:eastAsia="Calibri" w:hAnsi="Arial" w:cs="Arial"/>
                <w:b/>
              </w:rPr>
              <w:t>Číslo žiadosti /EPŽ/</w:t>
            </w:r>
          </w:p>
          <w:p w:rsidR="004E198B" w:rsidRPr="004E198B" w:rsidRDefault="004E198B" w:rsidP="004E198B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</w:tbl>
    <w:p w:rsidR="004E198B" w:rsidRPr="004E198B" w:rsidRDefault="004E198B" w:rsidP="004E198B">
      <w:pPr>
        <w:spacing w:after="0"/>
        <w:rPr>
          <w:rFonts w:ascii="Arial" w:eastAsia="Calibri" w:hAnsi="Arial" w:cs="Arial"/>
          <w:b/>
        </w:rPr>
      </w:pPr>
    </w:p>
    <w:p w:rsidR="004E198B" w:rsidRPr="004E198B" w:rsidRDefault="004E198B" w:rsidP="004E198B">
      <w:pPr>
        <w:spacing w:after="0"/>
        <w:rPr>
          <w:rFonts w:ascii="Arial" w:eastAsia="Calibri" w:hAnsi="Arial" w:cs="Arial"/>
          <w:bCs/>
        </w:rPr>
      </w:pPr>
    </w:p>
    <w:tbl>
      <w:tblPr>
        <w:tblW w:w="985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82"/>
        <w:gridCol w:w="5992"/>
        <w:gridCol w:w="1560"/>
        <w:gridCol w:w="1417"/>
      </w:tblGrid>
      <w:tr w:rsidR="004E198B" w:rsidRPr="004E198B" w:rsidTr="00D84534">
        <w:trPr>
          <w:cantSplit/>
        </w:trPr>
        <w:tc>
          <w:tcPr>
            <w:tcW w:w="882" w:type="dxa"/>
            <w:shd w:val="clear" w:color="auto" w:fill="BFBFBF"/>
          </w:tcPr>
          <w:p w:rsidR="004E198B" w:rsidRPr="004E198B" w:rsidRDefault="004E198B" w:rsidP="004E198B">
            <w:pPr>
              <w:spacing w:after="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5992" w:type="dxa"/>
            <w:shd w:val="clear" w:color="auto" w:fill="BFBFBF"/>
          </w:tcPr>
          <w:p w:rsidR="004E198B" w:rsidRPr="004E198B" w:rsidRDefault="004E198B" w:rsidP="00746DA0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Názov účelu</w:t>
            </w:r>
            <w:r w:rsidR="00746DA0"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(</w:t>
            </w:r>
            <w:r w:rsidR="00746DA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3</w:t>
            </w:r>
            <w:r w:rsidR="00746DA0"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)</w:t>
            </w:r>
          </w:p>
        </w:tc>
        <w:tc>
          <w:tcPr>
            <w:tcW w:w="2977" w:type="dxa"/>
            <w:gridSpan w:val="2"/>
            <w:shd w:val="clear" w:color="auto" w:fill="BFBFBF"/>
          </w:tcPr>
          <w:p w:rsidR="004E198B" w:rsidRPr="004E198B" w:rsidRDefault="004E198B" w:rsidP="004E198B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D42A9" w:rsidRPr="004E198B" w:rsidTr="00D84534">
        <w:trPr>
          <w:cantSplit/>
        </w:trPr>
        <w:tc>
          <w:tcPr>
            <w:tcW w:w="882" w:type="dxa"/>
            <w:vMerge w:val="restart"/>
            <w:vAlign w:val="center"/>
          </w:tcPr>
          <w:p w:rsidR="002D42A9" w:rsidRPr="004E198B" w:rsidRDefault="002D42A9" w:rsidP="004E198B">
            <w:pPr>
              <w:spacing w:after="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U 414</w:t>
            </w:r>
          </w:p>
        </w:tc>
        <w:tc>
          <w:tcPr>
            <w:tcW w:w="5992" w:type="dxa"/>
          </w:tcPr>
          <w:p w:rsidR="002D42A9" w:rsidRPr="004E198B" w:rsidRDefault="002D42A9" w:rsidP="002D42A9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Times New Roman"/>
                <w:sz w:val="20"/>
                <w:szCs w:val="20"/>
              </w:rPr>
              <w:t xml:space="preserve">kúpa </w:t>
            </w:r>
            <w:r w:rsidRPr="004E198B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nájomného</w:t>
            </w:r>
            <w:r w:rsidRPr="004E198B">
              <w:rPr>
                <w:rFonts w:ascii="Arial" w:eastAsia="Calibri" w:hAnsi="Arial" w:cs="Times New Roman"/>
                <w:sz w:val="20"/>
                <w:szCs w:val="20"/>
              </w:rPr>
              <w:t xml:space="preserve"> bytu v bytovom dome, polyfunkčnom dome </w:t>
            </w:r>
            <w:r w:rsidRPr="009A3E56">
              <w:rPr>
                <w:rFonts w:ascii="Arial" w:eastAsia="Calibri" w:hAnsi="Arial" w:cs="Times New Roman"/>
                <w:sz w:val="20"/>
                <w:szCs w:val="20"/>
              </w:rPr>
              <w:t>na základe kúpnej   zmluvy</w:t>
            </w:r>
          </w:p>
        </w:tc>
        <w:tc>
          <w:tcPr>
            <w:tcW w:w="1560" w:type="dxa"/>
            <w:vAlign w:val="center"/>
          </w:tcPr>
          <w:p w:rsidR="002D42A9" w:rsidRPr="004E198B" w:rsidRDefault="002D42A9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Áno </w:t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D42A9" w:rsidRPr="004E198B" w:rsidRDefault="002D42A9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Nie </w:t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42A9" w:rsidRPr="004E198B" w:rsidTr="00D84534">
        <w:trPr>
          <w:cantSplit/>
        </w:trPr>
        <w:tc>
          <w:tcPr>
            <w:tcW w:w="882" w:type="dxa"/>
            <w:vMerge/>
            <w:vAlign w:val="center"/>
          </w:tcPr>
          <w:p w:rsidR="002D42A9" w:rsidRPr="004E198B" w:rsidRDefault="002D42A9" w:rsidP="004E198B">
            <w:pPr>
              <w:spacing w:after="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992" w:type="dxa"/>
          </w:tcPr>
          <w:p w:rsidR="002D42A9" w:rsidRPr="004E198B" w:rsidRDefault="002D42A9" w:rsidP="002D42A9">
            <w:pPr>
              <w:spacing w:after="0"/>
              <w:contextualSpacing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004E198B">
              <w:rPr>
                <w:rFonts w:ascii="Arial" w:eastAsia="Calibri" w:hAnsi="Arial" w:cs="Times New Roman"/>
                <w:sz w:val="20"/>
                <w:szCs w:val="20"/>
              </w:rPr>
              <w:t xml:space="preserve">kúpa </w:t>
            </w:r>
            <w:r w:rsidRPr="004E198B">
              <w:rPr>
                <w:rFonts w:ascii="Arial" w:eastAsia="Calibri" w:hAnsi="Arial" w:cs="Times New Roman"/>
                <w:color w:val="000000"/>
                <w:sz w:val="20"/>
                <w:szCs w:val="20"/>
              </w:rPr>
              <w:t>nájomného</w:t>
            </w:r>
            <w:r w:rsidRPr="004E198B">
              <w:rPr>
                <w:rFonts w:ascii="Arial" w:eastAsia="Calibri" w:hAnsi="Arial" w:cs="Times New Roman"/>
                <w:sz w:val="20"/>
                <w:szCs w:val="20"/>
              </w:rPr>
              <w:t xml:space="preserve"> bytu v bytovom dome, polyfunkčnom dome</w:t>
            </w:r>
            <w:r w:rsidRPr="009A3E56">
              <w:rPr>
                <w:rFonts w:ascii="Arial" w:hAnsi="Arial"/>
                <w:sz w:val="20"/>
                <w:szCs w:val="20"/>
              </w:rPr>
              <w:t xml:space="preserve"> na základe zmluvy o budúcej kúpnej zmluve</w:t>
            </w:r>
          </w:p>
        </w:tc>
        <w:tc>
          <w:tcPr>
            <w:tcW w:w="1560" w:type="dxa"/>
            <w:vAlign w:val="center"/>
          </w:tcPr>
          <w:p w:rsidR="002D42A9" w:rsidRPr="004E198B" w:rsidRDefault="002D42A9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Áno </w:t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D42A9" w:rsidRPr="004E198B" w:rsidRDefault="002D42A9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Nie </w:t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42A9" w:rsidRPr="004E198B" w:rsidTr="00D84534">
        <w:trPr>
          <w:cantSplit/>
        </w:trPr>
        <w:tc>
          <w:tcPr>
            <w:tcW w:w="882" w:type="dxa"/>
            <w:vMerge w:val="restart"/>
            <w:vAlign w:val="center"/>
          </w:tcPr>
          <w:p w:rsidR="002D42A9" w:rsidRPr="004E198B" w:rsidRDefault="002D42A9" w:rsidP="004E198B">
            <w:pPr>
              <w:spacing w:after="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U 444</w:t>
            </w:r>
          </w:p>
        </w:tc>
        <w:tc>
          <w:tcPr>
            <w:tcW w:w="5992" w:type="dxa"/>
          </w:tcPr>
          <w:p w:rsidR="002D42A9" w:rsidRPr="004E198B" w:rsidRDefault="002D42A9" w:rsidP="002D42A9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Times New Roman"/>
                <w:sz w:val="20"/>
                <w:szCs w:val="20"/>
              </w:rPr>
              <w:t xml:space="preserve">kúpa nájomného bytu v rodinnom dome </w:t>
            </w:r>
            <w:r w:rsidRPr="009A3E56">
              <w:rPr>
                <w:rFonts w:ascii="Arial" w:eastAsia="Calibri" w:hAnsi="Arial" w:cs="Times New Roman"/>
                <w:sz w:val="20"/>
                <w:szCs w:val="20"/>
              </w:rPr>
              <w:t>na základe kúpnej   zmluvy</w:t>
            </w:r>
          </w:p>
        </w:tc>
        <w:tc>
          <w:tcPr>
            <w:tcW w:w="1560" w:type="dxa"/>
            <w:vAlign w:val="center"/>
          </w:tcPr>
          <w:p w:rsidR="002D42A9" w:rsidRPr="004E198B" w:rsidRDefault="002D42A9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Áno </w:t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D42A9" w:rsidRPr="004E198B" w:rsidRDefault="002D42A9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Nie </w:t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42A9" w:rsidRPr="004E198B" w:rsidTr="00D84534">
        <w:trPr>
          <w:cantSplit/>
        </w:trPr>
        <w:tc>
          <w:tcPr>
            <w:tcW w:w="882" w:type="dxa"/>
            <w:vMerge/>
            <w:vAlign w:val="center"/>
          </w:tcPr>
          <w:p w:rsidR="002D42A9" w:rsidRPr="004E198B" w:rsidRDefault="002D42A9" w:rsidP="004E198B">
            <w:pPr>
              <w:spacing w:after="0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992" w:type="dxa"/>
          </w:tcPr>
          <w:p w:rsidR="002D42A9" w:rsidRPr="004E198B" w:rsidRDefault="002D42A9" w:rsidP="002D42A9">
            <w:pPr>
              <w:spacing w:after="0"/>
              <w:contextualSpacing/>
              <w:jc w:val="both"/>
              <w:rPr>
                <w:rFonts w:ascii="Arial" w:eastAsia="Calibri" w:hAnsi="Arial" w:cs="Times New Roman"/>
                <w:sz w:val="20"/>
                <w:szCs w:val="20"/>
              </w:rPr>
            </w:pPr>
            <w:r w:rsidRPr="004E198B">
              <w:rPr>
                <w:rFonts w:ascii="Arial" w:eastAsia="Calibri" w:hAnsi="Arial" w:cs="Times New Roman"/>
                <w:sz w:val="20"/>
                <w:szCs w:val="20"/>
              </w:rPr>
              <w:t>kúpa nájomného bytu v rodinnom dome</w:t>
            </w:r>
            <w:r w:rsidRPr="009A3E56">
              <w:rPr>
                <w:rFonts w:ascii="Arial" w:hAnsi="Arial"/>
                <w:sz w:val="20"/>
                <w:szCs w:val="20"/>
              </w:rPr>
              <w:t xml:space="preserve"> na základe zmluvy o budúcej kúpnej zmluve</w:t>
            </w:r>
          </w:p>
        </w:tc>
        <w:tc>
          <w:tcPr>
            <w:tcW w:w="1560" w:type="dxa"/>
            <w:vAlign w:val="center"/>
          </w:tcPr>
          <w:p w:rsidR="002D42A9" w:rsidRPr="004E198B" w:rsidRDefault="002D42A9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Áno </w:t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D42A9" w:rsidRPr="004E198B" w:rsidRDefault="002D42A9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Nie </w:t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E198B" w:rsidRDefault="004E198B" w:rsidP="004E198B">
      <w:pPr>
        <w:keepNext/>
        <w:overflowPunct w:val="0"/>
        <w:autoSpaceDE w:val="0"/>
        <w:autoSpaceDN w:val="0"/>
        <w:adjustRightInd w:val="0"/>
        <w:spacing w:after="0"/>
        <w:jc w:val="both"/>
        <w:outlineLvl w:val="7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3279A8" w:rsidRPr="004E198B" w:rsidRDefault="003279A8" w:rsidP="004E198B">
      <w:pPr>
        <w:keepNext/>
        <w:overflowPunct w:val="0"/>
        <w:autoSpaceDE w:val="0"/>
        <w:autoSpaceDN w:val="0"/>
        <w:adjustRightInd w:val="0"/>
        <w:spacing w:after="0"/>
        <w:jc w:val="both"/>
        <w:outlineLvl w:val="7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4E198B" w:rsidRPr="004E198B" w:rsidRDefault="004E198B" w:rsidP="004E198B">
      <w:pPr>
        <w:keepNext/>
        <w:overflowPunct w:val="0"/>
        <w:autoSpaceDE w:val="0"/>
        <w:autoSpaceDN w:val="0"/>
        <w:adjustRightInd w:val="0"/>
        <w:spacing w:after="0"/>
        <w:outlineLvl w:val="7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E198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Prílohy: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672"/>
        <w:gridCol w:w="504"/>
        <w:gridCol w:w="6005"/>
        <w:gridCol w:w="518"/>
        <w:gridCol w:w="728"/>
        <w:gridCol w:w="728"/>
      </w:tblGrid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Sken.kód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Poč.</w:t>
            </w: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listov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Názov dokladu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84534" w:rsidRDefault="00D84534" w:rsidP="004E198B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D84534" w:rsidRPr="004E198B" w:rsidRDefault="00D84534" w:rsidP="004E198B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84534" w:rsidRDefault="00D84534" w:rsidP="004E198B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D84534" w:rsidRPr="004E198B" w:rsidRDefault="00D84534" w:rsidP="00D84534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</w:pPr>
            <w:r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Áno</w:t>
            </w:r>
            <w:r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4</w:t>
            </w:r>
            <w:r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D84534" w:rsidRDefault="00D84534" w:rsidP="00746D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D84534" w:rsidRPr="004E198B" w:rsidRDefault="00D84534" w:rsidP="00746DA0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Áno</w:t>
            </w:r>
            <w:r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5</w:t>
            </w:r>
            <w:r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cs-CZ"/>
              </w:rPr>
              <w:t>)</w:t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534" w:rsidRPr="004E198B" w:rsidRDefault="00D84534" w:rsidP="004E198B">
            <w:pPr>
              <w:keepNext/>
              <w:overflowPunct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E19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A. Identifikačné údaje žiadateľa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534" w:rsidRPr="004E198B" w:rsidRDefault="00D84534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6801a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1.a.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</w:rPr>
              <w:t>výpis z obchodného registra alebo obdobného registra (nie starší ako 3 mesiace)</w:t>
            </w:r>
            <w:r w:rsidRPr="004E198B">
              <w:rPr>
                <w:rFonts w:ascii="Arial" w:eastAsia="Calibri" w:hAnsi="Arial" w:cs="Arial"/>
                <w:color w:val="00B050"/>
                <w:sz w:val="20"/>
              </w:rPr>
              <w:t xml:space="preserve">    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Default="00D84534" w:rsidP="00746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6801b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1.b.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0"/>
              </w:rPr>
            </w:pPr>
            <w:r w:rsidRPr="004E198B">
              <w:rPr>
                <w:rFonts w:ascii="Arial" w:eastAsia="Calibri" w:hAnsi="Arial" w:cs="Arial"/>
                <w:sz w:val="20"/>
              </w:rPr>
              <w:t>zakladacia listina neziskovej organizácie (potvrdzujúci splnenie podmienok definovaných v § 7 písm.f zákona 443/2010 Z.z)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Default="00D84534" w:rsidP="00746D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84534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:rsidR="00D84534" w:rsidRPr="004E198B" w:rsidRDefault="00D84534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DE4D22" w:rsidRDefault="00D84534" w:rsidP="004E19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sz w:val="20"/>
                <w:szCs w:val="20"/>
              </w:rPr>
              <w:t>6801c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spacing w:val="-20"/>
                <w:sz w:val="20"/>
                <w:szCs w:val="20"/>
              </w:rPr>
              <w:t>1.c.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0"/>
              </w:rPr>
            </w:pPr>
            <w:r w:rsidRPr="00DE4D22">
              <w:rPr>
                <w:rFonts w:ascii="Arial" w:hAnsi="Arial" w:cs="Arial"/>
                <w:sz w:val="20"/>
                <w:szCs w:val="20"/>
              </w:rPr>
              <w:t xml:space="preserve">zoznam záujemcov o nájomné byty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DE4D22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DE4D22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DE4D22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DE4D22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DE4D22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DE4D22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DE4D22" w:rsidRDefault="00D84534" w:rsidP="004E19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sz w:val="20"/>
                <w:szCs w:val="20"/>
              </w:rPr>
              <w:t>6801d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spacing w:val="-20"/>
                <w:sz w:val="20"/>
                <w:szCs w:val="20"/>
              </w:rPr>
              <w:t>1.d.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DE4D22" w:rsidRDefault="00D84534" w:rsidP="00320F2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0"/>
              </w:rPr>
            </w:pPr>
            <w:r w:rsidRPr="00DE4D22">
              <w:rPr>
                <w:rFonts w:ascii="Arial" w:hAnsi="Arial" w:cs="Arial"/>
                <w:sz w:val="20"/>
                <w:szCs w:val="20"/>
              </w:rPr>
              <w:t>potvrdenie obce o počte obyvateľov v obci,</w:t>
            </w:r>
            <w:r w:rsidR="00320F25" w:rsidRPr="00DE4D22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DE4D22">
              <w:rPr>
                <w:rFonts w:ascii="Arial" w:hAnsi="Arial" w:cs="Arial"/>
                <w:sz w:val="20"/>
                <w:szCs w:val="20"/>
              </w:rPr>
              <w:t xml:space="preserve"> celkovom počte bytov v</w:t>
            </w:r>
            <w:r w:rsidR="00320F25" w:rsidRPr="00DE4D22">
              <w:rPr>
                <w:rFonts w:ascii="Arial" w:hAnsi="Arial" w:cs="Arial"/>
                <w:sz w:val="20"/>
                <w:szCs w:val="20"/>
              </w:rPr>
              <w:t> </w:t>
            </w:r>
            <w:r w:rsidRPr="00DE4D22">
              <w:rPr>
                <w:rFonts w:ascii="Arial" w:hAnsi="Arial" w:cs="Arial"/>
                <w:sz w:val="20"/>
                <w:szCs w:val="20"/>
              </w:rPr>
              <w:t>obci</w:t>
            </w:r>
            <w:r w:rsidR="00320F25" w:rsidRPr="00DE4D22">
              <w:rPr>
                <w:rFonts w:ascii="Arial" w:hAnsi="Arial" w:cs="Arial"/>
                <w:sz w:val="20"/>
                <w:szCs w:val="20"/>
              </w:rPr>
              <w:t xml:space="preserve"> a z toho o</w:t>
            </w:r>
            <w:r w:rsidRPr="00DE4D22">
              <w:rPr>
                <w:rFonts w:ascii="Arial" w:hAnsi="Arial" w:cs="Arial"/>
                <w:sz w:val="20"/>
                <w:szCs w:val="20"/>
              </w:rPr>
              <w:t xml:space="preserve"> počte nájomných bytov v obci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DE4D22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DE4D22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DE4D22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DE4D22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DE4D22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DE4D22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534" w:rsidRPr="004E198B" w:rsidRDefault="00D84534" w:rsidP="004E198B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C. Údaje o stavbe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4534" w:rsidRPr="004E198B" w:rsidRDefault="00D84534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právoplatné kolaudačné rozhodnutie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 xml:space="preserve"> – musí preukazovať, že ide o novosta</w:t>
            </w: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bu bytu v bytovom dome, rodinnom dome alebo polyfunkčnom dome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právoplatné stavebné povolenie - 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v prípade obstarania nájomného bytu na základe zmluvy o budúcej kúpnej zmluve uzavretej so zhotoviteľom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výpis z listu vlastníctva stavebného pozemku prislúchajúceho k predmetnej stavbe (nie starší ako 3 mes.)</w:t>
            </w: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- akceptuje sa aj z katastrálneho portálu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5.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výpis z listu vlastníctva stavby – predávajúci / stavebník je uvedený ako vlastník nehnuteľnosti , ktorá je predmetom predaja  (nie starší ako 3 mes.)</w:t>
            </w: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softHyphen/>
              <w:t>- akceptuje sa aj z katastrálneho portálu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4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6806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kúpna </w:t>
            </w:r>
            <w:r w:rsidRPr="00DE4D2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zmluva </w:t>
            </w:r>
            <w:r w:rsidRPr="00DE4D22">
              <w:rPr>
                <w:rFonts w:ascii="Arial" w:hAnsi="Arial" w:cs="Arial"/>
                <w:bCs/>
                <w:sz w:val="20"/>
                <w:szCs w:val="20"/>
              </w:rPr>
              <w:t>vrátane všetkých príloh a dodatkov</w:t>
            </w: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(s úradne overenými podpismi zmluvných strán)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25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E4D22">
              <w:rPr>
                <w:rFonts w:ascii="Arial" w:hAnsi="Arial" w:cs="Arial"/>
                <w:bCs/>
                <w:sz w:val="20"/>
                <w:szCs w:val="20"/>
              </w:rPr>
              <w:t>+ výkaz výmer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7.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sz w:val="20"/>
                <w:szCs w:val="20"/>
              </w:rPr>
              <w:t>protokol o skutočnom vyhotovení stavby a vybavení bytu</w:t>
            </w:r>
            <w:r w:rsidRPr="00DE4D22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87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6808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8.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zmluva o budúcej kúpnej zmluve </w:t>
            </w:r>
            <w:r w:rsidRPr="00DE4D22">
              <w:rPr>
                <w:rFonts w:ascii="Arial" w:hAnsi="Arial" w:cs="Arial"/>
                <w:bCs/>
                <w:sz w:val="20"/>
                <w:szCs w:val="20"/>
              </w:rPr>
              <w:t>vrátane všetkých príloh a dodatkov</w:t>
            </w:r>
            <w:r w:rsidRPr="00DE4D2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- </w:t>
            </w:r>
            <w:r w:rsidRPr="00DE4D22">
              <w:rPr>
                <w:rFonts w:ascii="Arial" w:eastAsia="Calibri" w:hAnsi="Arial" w:cs="Arial"/>
                <w:sz w:val="20"/>
                <w:szCs w:val="20"/>
              </w:rPr>
              <w:t>v prípade obstarania nájomného bytu na základe zmluvy o budúcej kúpnej zmluve uzavretej so zhotoviteľom</w:t>
            </w:r>
          </w:p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bCs/>
                <w:sz w:val="20"/>
                <w:szCs w:val="20"/>
              </w:rPr>
              <w:t>(s úradne overenými podpismi zmluvných strán)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27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E4D22">
              <w:rPr>
                <w:rFonts w:ascii="Arial" w:hAnsi="Arial" w:cs="Arial"/>
                <w:bCs/>
                <w:sz w:val="20"/>
                <w:szCs w:val="20"/>
              </w:rPr>
              <w:t>+ výkaz výmer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9.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 xml:space="preserve">tabuľka - prepočet obstarávacej ceny na každý byt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10.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projektová dokumentácia</w:t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 xml:space="preserve">overená v stavebnom  konaní </w:t>
            </w: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- stavebné výkresy</w:t>
            </w: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- technická správa</w:t>
            </w: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5" w:hanging="95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-prípadne projektová dokumentácia skutočného vyhotovenia stavby</w:t>
            </w:r>
            <w:r w:rsidRPr="004E198B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11.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ind w:left="79" w:hanging="79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- energetický certifikát (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v prípade obstarania nájomného bytu na základe kúpnej zmluvy)</w:t>
            </w: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- energetické hodnotenie budovy (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v prípade obstarania nájomného bytu na základe zmluvy o budúcej kúpnej zmluve uzavretej so zhotoviteľom</w:t>
            </w: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12.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doklad o preukázaní odbornej spôsobilosti zhotoviteľa stavby</w:t>
            </w: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– výpis z obchodného, alebo živnostenského registra </w:t>
            </w: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both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Cs/>
                <w:sz w:val="20"/>
                <w:szCs w:val="20"/>
              </w:rPr>
              <w:t>(v prípade obstarania nájomného bytu  na základe zmluvy o budúcej kúpnej zmluve)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13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13.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8677BE" w:rsidRDefault="00D84534" w:rsidP="00F05C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677BE">
              <w:rPr>
                <w:rFonts w:ascii="Arial" w:eastAsia="Calibri" w:hAnsi="Arial" w:cs="Arial"/>
                <w:sz w:val="20"/>
                <w:szCs w:val="20"/>
              </w:rPr>
              <w:t>osvedčenie o významnej investícii vydané podľa § 3 zákona č. 175/1999 Z. z. o niektorých opatreniach týkajúcich sa prípravy významných investícií a o doplnení niektorých zákonov  v znení neskorších predpisov (preukázanie podmienky, že sa stavba realizuje v súvislosti s významnou investíciou §10 ods. 12 zákona)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D. Preukázanie schopnosti platenia splátok úveru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20.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potvrdenie o podaní daňového priznania k dani z príjmov ku dňu podania žiadosti za dve predchádzajúce zdaňovacie obdobia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21.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správcom dane osvedčená kópia daňového priznania k dani z príjmov za dve bezprostredne predchádzajúce zdaňovacie obdobia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22.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ročné účtovné závierky za dve bezprostredne predchádzajúce zdaňovacie obdobia</w:t>
            </w:r>
          </w:p>
          <w:p w:rsidR="00D84534" w:rsidRPr="004E198B" w:rsidRDefault="00D84534" w:rsidP="004E198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súvaha za  predchádzajúce 2 roky, najaktuálnejší stav bežného roka</w:t>
            </w:r>
          </w:p>
          <w:p w:rsidR="00D84534" w:rsidRPr="004E198B" w:rsidRDefault="00D84534" w:rsidP="004E198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výkaz ziskov a strát za predchádzajúce 2 roky, najaktuálnejší stav bežného roka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23.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podnikateľský zámer:</w:t>
            </w:r>
          </w:p>
          <w:p w:rsidR="00D84534" w:rsidRPr="004E198B" w:rsidRDefault="00D84534" w:rsidP="004E19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Charakteristika spoločnosti, stručná 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informácia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o podnikateľskej činnosti</w:t>
            </w:r>
          </w:p>
          <w:p w:rsidR="00D84534" w:rsidRPr="004E198B" w:rsidRDefault="00D84534" w:rsidP="004E19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Úroveň manažmentu</w:t>
            </w:r>
          </w:p>
          <w:p w:rsidR="00D84534" w:rsidRPr="004E198B" w:rsidRDefault="00D84534" w:rsidP="004E198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Opis 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podnikateľského  zámeru, stra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tégia  a  základné ciele podnikateľských aktivít, ktoré by mali byť  spolufinancované 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podporou ŠFRB formou úveru</w:t>
            </w:r>
          </w:p>
          <w:p w:rsidR="00D84534" w:rsidRPr="004E198B" w:rsidRDefault="00D84534" w:rsidP="004E19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Výrobno-technické zabezpečenie projektu</w:t>
            </w:r>
          </w:p>
          <w:p w:rsidR="00D84534" w:rsidRPr="004E198B" w:rsidRDefault="00D84534" w:rsidP="004E19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Marketingový plán</w:t>
            </w:r>
          </w:p>
          <w:p w:rsidR="00D84534" w:rsidRPr="004E198B" w:rsidRDefault="00D84534" w:rsidP="004E19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Odberatelia</w:t>
            </w:r>
          </w:p>
          <w:p w:rsidR="00D84534" w:rsidRPr="004E198B" w:rsidRDefault="00D84534" w:rsidP="004E19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Organizačný plán a zamestnanci</w:t>
            </w:r>
          </w:p>
          <w:p w:rsidR="00D84534" w:rsidRPr="004E198B" w:rsidRDefault="00D84534" w:rsidP="004E198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SWOT analýza podnikateľského zámeru</w:t>
            </w:r>
          </w:p>
          <w:p w:rsidR="00D84534" w:rsidRPr="004E198B" w:rsidRDefault="00D84534" w:rsidP="004E198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Rozpočet a financovanie projektu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24.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finančný plán na obdobie troch rokov vrátane zapracovania úverovej zaťaženosti vyplývajúcej z požadovaného úveru preukazujúci schopnosť splácania istiny a úrokov z úveru v dohodnutej výške a dohodnutom splátkovom kalendári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E. Návrh na zabezpečenie záväzku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4534" w:rsidRPr="004E198B" w:rsidTr="00746DA0">
        <w:trPr>
          <w:trHeight w:val="70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6830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30.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DE4D22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b/>
                <w:sz w:val="20"/>
                <w:szCs w:val="20"/>
              </w:rPr>
              <w:t>zabezpečenie záväzku nehnuteľnosťou</w:t>
            </w:r>
          </w:p>
          <w:p w:rsidR="00D84534" w:rsidRPr="00DE4D22" w:rsidRDefault="00D84534" w:rsidP="006F1BB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DE4D22">
              <w:rPr>
                <w:rFonts w:ascii="Arial" w:eastAsia="Calibri" w:hAnsi="Arial" w:cs="Arial"/>
                <w:sz w:val="20"/>
                <w:szCs w:val="20"/>
              </w:rPr>
              <w:t xml:space="preserve">list vlastníctva k predmetu záložného práva (nie starší ako 3 mesiace) – </w:t>
            </w:r>
            <w:r w:rsidR="004779D0" w:rsidRPr="00DE4D22"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DE4D22">
              <w:rPr>
                <w:rFonts w:ascii="Arial" w:eastAsia="Calibri" w:hAnsi="Arial" w:cs="Arial"/>
                <w:sz w:val="20"/>
                <w:szCs w:val="20"/>
              </w:rPr>
              <w:t>akceptuje sa k katastrálneho portálu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DE4D22" w:rsidRDefault="004779D0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E4D2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42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znalecký posudok na ocenenie nehnuteľností, ktoré budú predmetom záložného práva (nie starší ako 3 mesiace)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4534" w:rsidRPr="004E198B" w:rsidTr="00746DA0">
        <w:trPr>
          <w:trHeight w:val="7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3279A8" w:rsidRDefault="00D84534" w:rsidP="003279A8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color w:val="000000"/>
                <w:sz w:val="20"/>
              </w:rPr>
              <w:t>poistná zmluva dokladujúca poistenie nehnuteľnosti pre prípad následkov živelných udalostí  vrátane potvrdenia poisťovne</w:t>
            </w:r>
            <w:r>
              <w:rPr>
                <w:rFonts w:ascii="Arial" w:eastAsia="Calibri" w:hAnsi="Arial" w:cs="Arial"/>
                <w:color w:val="000000"/>
                <w:sz w:val="20"/>
              </w:rPr>
              <w:t xml:space="preserve"> o úhrade poistného</w:t>
            </w:r>
          </w:p>
          <w:p w:rsidR="00D84534" w:rsidRPr="004E198B" w:rsidRDefault="00D84534" w:rsidP="003279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 xml:space="preserve"> </w:t>
            </w:r>
            <w:r w:rsidRPr="008677BE">
              <w:rPr>
                <w:rFonts w:ascii="Arial" w:eastAsia="Calibri" w:hAnsi="Arial" w:cs="Arial"/>
                <w:sz w:val="20"/>
                <w:szCs w:val="20"/>
                <w:u w:val="single"/>
              </w:rPr>
              <w:t>alebo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31.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0C1162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00B050"/>
                <w:sz w:val="20"/>
                <w:szCs w:val="20"/>
              </w:rPr>
            </w:pPr>
            <w:r w:rsidRPr="000C1162">
              <w:rPr>
                <w:rFonts w:ascii="Arial" w:eastAsia="Calibri" w:hAnsi="Arial" w:cs="Arial"/>
                <w:b/>
                <w:sz w:val="20"/>
                <w:szCs w:val="20"/>
              </w:rPr>
              <w:t xml:space="preserve">zabezpečenie záväzku bankovou zárukou     </w:t>
            </w: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- záväzný písomný prísľub banky o poskytnutí bankovej záruky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F. Preukázanie splnenia podmienok podľa § 9 zákona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4534" w:rsidRPr="004E198B" w:rsidRDefault="00D84534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40.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doklad o splnení odvodových povinností – potvrdenie zo Sociálnej poisťovne , že voči žiadateľovi neeviduje dlžné sumy poistného na sociálne poistenie, povinných príspevkov na starobné dôchodkové sporenie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41.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doklad o splnení odvodových povinností – potvrdenie zo zdravotnej poisťovne,  že voči žiadateľovi neeviduje dlžné sumy poistného na zdravotné poistenie 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42.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99CC0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potvrdenie správcu dane, že neeviduje voči žiadateľovi</w:t>
            </w:r>
            <w:r w:rsidRPr="004E198B">
              <w:rPr>
                <w:rFonts w:ascii="Arial" w:eastAsia="Calibri" w:hAnsi="Arial" w:cs="Arial"/>
                <w:color w:val="0000FF"/>
                <w:sz w:val="20"/>
                <w:szCs w:val="20"/>
              </w:rPr>
              <w:t xml:space="preserve"> </w:t>
            </w:r>
            <w:r w:rsidRPr="004E198B">
              <w:rPr>
                <w:rFonts w:ascii="Arial" w:eastAsia="Calibri" w:hAnsi="Arial" w:cs="Arial"/>
                <w:sz w:val="20"/>
                <w:szCs w:val="20"/>
              </w:rPr>
              <w:t>(obec) žiadne daňové nedoplatky 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43.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potvrdenie príslušného konkurzného súdu preukazujúcim, že žiadateľ nie je v reštrukturalizácii alebo v konkurze alebo nebol proti nemu zamietnutý návrh na vyhlásenie konkurzu pre nedostatok majetku (nie starší ako 3 mes.)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44.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doklad preukazujúci skutočnosť, že žiadosť sa predkladá v dôsledku riešenia následkov živelnej udalosti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4534" w:rsidRPr="004E198B" w:rsidTr="00746DA0">
        <w:trPr>
          <w:trHeight w:val="3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6845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pacing w:val="-20"/>
                <w:sz w:val="20"/>
                <w:szCs w:val="20"/>
              </w:rPr>
              <w:t>45.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Čestné vyhlásenie žiadateľa o poskytnutí štátnej pomoci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D84534" w:rsidP="004E19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4E198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34" w:rsidRPr="004E198B" w:rsidRDefault="001B0893" w:rsidP="00746DA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4534" w:rsidRPr="004E198B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Vysvetlivky k typu dokladu:</w:t>
      </w:r>
    </w:p>
    <w:p w:rsidR="00746DA0" w:rsidRDefault="00746DA0" w:rsidP="00746D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18"/>
          <w:szCs w:val="18"/>
        </w:rPr>
        <w:t>originál</w:t>
      </w:r>
    </w:p>
    <w:p w:rsidR="00746DA0" w:rsidRPr="00DE4D22" w:rsidRDefault="00746DA0" w:rsidP="00746D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18"/>
          <w:szCs w:val="18"/>
        </w:rPr>
        <w:t>originál alebo úradne osvedčená</w:t>
      </w:r>
      <w:r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kópia alebo kópia, ktorej zhodu s originálom vyznačí zamestnanec  okresného úradu v sídle </w:t>
      </w:r>
      <w:r w:rsidRPr="00DE4D22">
        <w:rPr>
          <w:rFonts w:ascii="Arial" w:eastAsia="Calibri" w:hAnsi="Arial" w:cs="Arial"/>
          <w:sz w:val="18"/>
          <w:szCs w:val="18"/>
        </w:rPr>
        <w:t>okresu textom „súhlasí s originálom“</w:t>
      </w:r>
    </w:p>
    <w:p w:rsidR="00746DA0" w:rsidRDefault="00746DA0" w:rsidP="00746D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správne označte krížikom</w:t>
      </w:r>
    </w:p>
    <w:p w:rsidR="00746DA0" w:rsidRDefault="00746DA0" w:rsidP="00746D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18"/>
          <w:szCs w:val="18"/>
        </w:rPr>
        <w:t>pracovník okresného úradu po</w:t>
      </w:r>
      <w:r w:rsidR="00DE4D22">
        <w:rPr>
          <w:rFonts w:ascii="Arial" w:eastAsia="Calibri" w:hAnsi="Arial" w:cs="Arial"/>
          <w:sz w:val="18"/>
          <w:szCs w:val="18"/>
        </w:rPr>
        <w:t>t</w:t>
      </w:r>
      <w:r>
        <w:rPr>
          <w:rFonts w:ascii="Arial" w:eastAsia="Calibri" w:hAnsi="Arial" w:cs="Arial"/>
          <w:sz w:val="18"/>
          <w:szCs w:val="18"/>
        </w:rPr>
        <w:t>vrdí krížikom, že uvedené prílohy sú priložené k žiadosti</w:t>
      </w:r>
    </w:p>
    <w:p w:rsidR="00746DA0" w:rsidRPr="00552E75" w:rsidRDefault="00746DA0" w:rsidP="00746D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sz w:val="18"/>
          <w:szCs w:val="18"/>
        </w:rPr>
        <w:t>kontrola ŠFRB</w:t>
      </w:r>
    </w:p>
    <w:p w:rsidR="00CC1BD3" w:rsidRDefault="00CC1BD3" w:rsidP="004E198B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C1BD3" w:rsidRDefault="00CC1BD3" w:rsidP="004E198B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CC1BD3" w:rsidRPr="00007A6B" w:rsidTr="00540C34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D3" w:rsidRPr="00DE4D22" w:rsidRDefault="00CC1BD3" w:rsidP="00CC1B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4D22">
              <w:rPr>
                <w:rFonts w:ascii="Arial" w:hAnsi="Arial" w:cs="Arial"/>
                <w:b/>
                <w:sz w:val="20"/>
                <w:szCs w:val="20"/>
              </w:rPr>
              <w:t>Meno overovateľa žiadosti (príslušného pracovníka okresného úradu)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D3" w:rsidRPr="00DE4D22" w:rsidRDefault="00CC1BD3" w:rsidP="00540C3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E4D22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</w:tbl>
    <w:p w:rsidR="00CC1BD3" w:rsidRDefault="00CC1BD3" w:rsidP="004E198B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C1BD3" w:rsidRPr="004E198B" w:rsidRDefault="00CC1BD3" w:rsidP="004E198B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4E198B" w:rsidRPr="004E198B" w:rsidTr="00540C34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Meno zamestnanca ŠFRB, ktorý kontrolu vykonal:</w:t>
            </w: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8B" w:rsidRPr="004E198B" w:rsidRDefault="004E198B" w:rsidP="004E198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cs-CZ"/>
              </w:rPr>
            </w:pPr>
            <w:r w:rsidRPr="004E198B">
              <w:rPr>
                <w:rFonts w:ascii="Arial" w:eastAsia="Calibri" w:hAnsi="Arial" w:cs="Arial"/>
                <w:b/>
                <w:sz w:val="20"/>
                <w:szCs w:val="20"/>
              </w:rPr>
              <w:t>Podpis</w:t>
            </w:r>
          </w:p>
        </w:tc>
      </w:tr>
    </w:tbl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Vysvetlivky k prílohám:</w:t>
      </w:r>
    </w:p>
    <w:p w:rsidR="004E198B" w:rsidRDefault="004E198B" w:rsidP="004E198B">
      <w:pPr>
        <w:spacing w:after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CC1BD3" w:rsidRPr="00DE4D22" w:rsidRDefault="00CC1BD3" w:rsidP="00CC1BD3">
      <w:pPr>
        <w:tabs>
          <w:tab w:val="left" w:pos="1106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4D22">
        <w:rPr>
          <w:rFonts w:ascii="Arial" w:hAnsi="Arial" w:cs="Arial"/>
          <w:b/>
          <w:sz w:val="20"/>
          <w:szCs w:val="20"/>
          <w:u w:val="single"/>
        </w:rPr>
        <w:t>Príloha 1.c, 1.d.</w:t>
      </w:r>
    </w:p>
    <w:p w:rsidR="00CC1BD3" w:rsidRPr="00DE4D22" w:rsidRDefault="00CC1BD3" w:rsidP="00CC1BD3">
      <w:pPr>
        <w:tabs>
          <w:tab w:val="left" w:pos="110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Doklady potvrdiť štatutárnym zástupcom obce.</w:t>
      </w:r>
    </w:p>
    <w:p w:rsidR="00CC1BD3" w:rsidRPr="004E198B" w:rsidRDefault="00CC1BD3" w:rsidP="00CC1BD3">
      <w:pPr>
        <w:spacing w:after="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Príloha 2.</w:t>
      </w: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Právoplatné kolaudačné rozhodnutie, ktoré preukazuje, že sa jedná o kúpu bytu od stavebníka uvedeného v kolaudačnom rozhodnutí</w:t>
      </w:r>
      <w:r w:rsidRPr="004E198B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Pr="004E198B">
        <w:rPr>
          <w:rFonts w:ascii="Arial" w:eastAsia="Calibri" w:hAnsi="Arial" w:cs="Arial"/>
          <w:sz w:val="20"/>
          <w:szCs w:val="20"/>
        </w:rPr>
        <w:t xml:space="preserve">od nadobudnutia ktorého neuplynulo viac ako </w:t>
      </w:r>
      <w:r w:rsidRPr="004E198B">
        <w:rPr>
          <w:rFonts w:ascii="Arial" w:eastAsia="Calibri" w:hAnsi="Arial" w:cs="Arial"/>
          <w:b/>
          <w:sz w:val="20"/>
          <w:szCs w:val="20"/>
        </w:rPr>
        <w:t xml:space="preserve">3 roky, </w:t>
      </w:r>
      <w:r w:rsidRPr="004E198B">
        <w:rPr>
          <w:rFonts w:ascii="Arial" w:eastAsia="Calibri" w:hAnsi="Arial" w:cs="Arial"/>
          <w:sz w:val="20"/>
          <w:szCs w:val="20"/>
        </w:rPr>
        <w:t>dokladujúce, že sa stavba nachádza v meste alebo v priľahlých s mestom priamo susediacich obciach alebo v obci, v katastri ktorej sa realizuje výstavba priemyselných parkov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Príloha 6.</w:t>
      </w:r>
    </w:p>
    <w:p w:rsidR="004E198B" w:rsidRPr="004E198B" w:rsidRDefault="004E198B" w:rsidP="004E19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trike/>
          <w:sz w:val="20"/>
          <w:szCs w:val="20"/>
          <w:u w:val="single"/>
        </w:rPr>
      </w:pPr>
      <w:r w:rsidRPr="004E198B">
        <w:rPr>
          <w:rFonts w:ascii="Arial" w:eastAsia="Calibri" w:hAnsi="Arial" w:cs="Arial"/>
          <w:sz w:val="20"/>
          <w:szCs w:val="20"/>
        </w:rPr>
        <w:t>Kúpna zmluva by mala obsahovať najmä:</w:t>
      </w:r>
    </w:p>
    <w:p w:rsidR="004E198B" w:rsidRPr="00DE4D22" w:rsidRDefault="00690238" w:rsidP="0069023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</w:t>
      </w:r>
      <w:r w:rsidR="004E198B" w:rsidRPr="004E198B">
        <w:rPr>
          <w:rFonts w:ascii="Arial" w:eastAsia="Calibri" w:hAnsi="Arial" w:cs="Arial"/>
          <w:sz w:val="20"/>
          <w:szCs w:val="20"/>
        </w:rPr>
        <w:t xml:space="preserve">identifikačné údaje zmluvných strán predávajúceho </w:t>
      </w:r>
      <w:r w:rsidR="00CC1BD3" w:rsidRPr="00DE4D22">
        <w:rPr>
          <w:rFonts w:ascii="Arial" w:hAnsi="Arial" w:cs="Arial"/>
          <w:sz w:val="20"/>
          <w:szCs w:val="20"/>
        </w:rPr>
        <w:t xml:space="preserve">(stavebníka uvedeného v kolaudačnom rozhodnutí) </w:t>
      </w:r>
      <w:r w:rsidR="004E198B" w:rsidRPr="00DE4D22">
        <w:rPr>
          <w:rFonts w:ascii="Arial" w:eastAsia="Calibri" w:hAnsi="Arial" w:cs="Arial"/>
          <w:sz w:val="20"/>
          <w:szCs w:val="20"/>
        </w:rPr>
        <w:t xml:space="preserve">a kupujúceho  </w:t>
      </w:r>
    </w:p>
    <w:p w:rsidR="004E198B" w:rsidRPr="00DE4D22" w:rsidRDefault="00690238" w:rsidP="0069023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DE4D22">
        <w:rPr>
          <w:rFonts w:ascii="Arial" w:eastAsia="Calibri" w:hAnsi="Arial" w:cs="Arial"/>
          <w:sz w:val="20"/>
          <w:szCs w:val="20"/>
        </w:rPr>
        <w:t xml:space="preserve">-  </w:t>
      </w:r>
      <w:r w:rsidR="004E198B" w:rsidRPr="00DE4D22">
        <w:rPr>
          <w:rFonts w:ascii="Arial" w:eastAsia="Calibri" w:hAnsi="Arial" w:cs="Arial"/>
          <w:sz w:val="20"/>
          <w:szCs w:val="20"/>
        </w:rPr>
        <w:t xml:space="preserve">predmet zmluvy - popis, rozloha bytov a ich vybavenie - presná špecifikácia jednotlivých bytov najmä v  prípade predaja iba určitého počtu b. j. </w:t>
      </w:r>
      <w:r w:rsidR="00BD79CC" w:rsidRPr="00DE4D22">
        <w:rPr>
          <w:rFonts w:ascii="Arial" w:eastAsia="Calibri" w:hAnsi="Arial" w:cs="Arial"/>
          <w:sz w:val="20"/>
          <w:szCs w:val="20"/>
        </w:rPr>
        <w:t>v súlade s kolaudačným rozhodnutím</w:t>
      </w:r>
    </w:p>
    <w:p w:rsidR="00690238" w:rsidRPr="00DE4D22" w:rsidRDefault="00690238" w:rsidP="00690238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 xml:space="preserve">     - odporúčame uviesť, že stavba je zhotovená v súlade s podmienkami zákona č. 150/2013   o ŠFRB a zákona č. 443/2010 v znení neskoších predpisov o dotáciách na rozvoj bývania a sociálnom bývaní</w:t>
      </w:r>
    </w:p>
    <w:p w:rsidR="004E198B" w:rsidRPr="00DE4D22" w:rsidRDefault="00690238" w:rsidP="00690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E4D22">
        <w:rPr>
          <w:rFonts w:ascii="Arial" w:eastAsia="Calibri" w:hAnsi="Arial" w:cs="Arial"/>
          <w:sz w:val="20"/>
          <w:szCs w:val="20"/>
        </w:rPr>
        <w:t xml:space="preserve">-   </w:t>
      </w:r>
      <w:r w:rsidR="004E198B" w:rsidRPr="00DE4D22">
        <w:rPr>
          <w:rFonts w:ascii="Arial" w:eastAsia="Calibri" w:hAnsi="Arial" w:cs="Arial"/>
          <w:sz w:val="20"/>
          <w:szCs w:val="20"/>
        </w:rPr>
        <w:t xml:space="preserve">určenie a popis spoločných častí, spoločných zariadení domu a  príslušenstva </w:t>
      </w:r>
    </w:p>
    <w:p w:rsidR="00690238" w:rsidRPr="00DE4D22" w:rsidRDefault="00690238" w:rsidP="0069023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284" w:hanging="218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  <w:u w:val="single"/>
        </w:rPr>
        <w:t>kúpna cena</w:t>
      </w:r>
      <w:r w:rsidRPr="00DE4D22">
        <w:rPr>
          <w:rFonts w:ascii="Arial" w:hAnsi="Arial" w:cs="Arial"/>
          <w:sz w:val="20"/>
          <w:szCs w:val="20"/>
        </w:rPr>
        <w:t xml:space="preserve"> –  musí byť záväzná; cenu uvádzať bez DPH a vrátane DPH</w:t>
      </w:r>
    </w:p>
    <w:p w:rsidR="00690238" w:rsidRPr="00DE4D22" w:rsidRDefault="00690238" w:rsidP="00690238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 xml:space="preserve">v prípade kúpy celého bytového domu je postačujúce uviesť cenu za </w:t>
      </w:r>
      <w:r w:rsidR="000356BF" w:rsidRPr="00DE4D22">
        <w:rPr>
          <w:rFonts w:ascii="Arial" w:hAnsi="Arial" w:cs="Arial"/>
          <w:sz w:val="20"/>
          <w:szCs w:val="20"/>
        </w:rPr>
        <w:t xml:space="preserve">celý </w:t>
      </w:r>
      <w:r w:rsidRPr="00DE4D22">
        <w:rPr>
          <w:rFonts w:ascii="Arial" w:hAnsi="Arial" w:cs="Arial"/>
          <w:sz w:val="20"/>
          <w:szCs w:val="20"/>
        </w:rPr>
        <w:t xml:space="preserve">BD </w:t>
      </w:r>
      <w:r w:rsidR="000356BF" w:rsidRPr="00DE4D22">
        <w:rPr>
          <w:rFonts w:ascii="Arial" w:hAnsi="Arial" w:cs="Arial"/>
          <w:sz w:val="20"/>
          <w:szCs w:val="20"/>
        </w:rPr>
        <w:t>(</w:t>
      </w:r>
      <w:r w:rsidRPr="00DE4D22">
        <w:rPr>
          <w:rFonts w:ascii="Arial" w:hAnsi="Arial" w:cs="Arial"/>
          <w:sz w:val="20"/>
          <w:szCs w:val="20"/>
        </w:rPr>
        <w:t>bez ceny pozemku</w:t>
      </w:r>
      <w:r w:rsidR="000356BF" w:rsidRPr="00DE4D22">
        <w:rPr>
          <w:rFonts w:ascii="Arial" w:hAnsi="Arial" w:cs="Arial"/>
          <w:sz w:val="20"/>
          <w:szCs w:val="20"/>
        </w:rPr>
        <w:t>)</w:t>
      </w:r>
    </w:p>
    <w:p w:rsidR="00690238" w:rsidRPr="00DE4D22" w:rsidRDefault="00690238" w:rsidP="00690238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 xml:space="preserve">v prípade kúpy samostatných bytov uviesť cenu za každý byt samostatne bez ceny pozemku, s prevodom bytu sa musí prevádzať aj spoluvlastnícky podiel </w:t>
      </w:r>
    </w:p>
    <w:p w:rsidR="00690238" w:rsidRPr="00DE4D22" w:rsidRDefault="00690238" w:rsidP="00690238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 xml:space="preserve"> v prípade polyfunkčnej časti – cena polyfunkcie,  prípadne odvolávka na samostatnú kúpnu zmluvu</w:t>
      </w:r>
    </w:p>
    <w:p w:rsidR="00690238" w:rsidRPr="00DE4D22" w:rsidRDefault="00690238" w:rsidP="00690238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 xml:space="preserve">samostatne uvedená cena pozemku </w:t>
      </w:r>
    </w:p>
    <w:p w:rsidR="00690238" w:rsidRPr="00DE4D22" w:rsidRDefault="00690238" w:rsidP="00690238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samostatne uvedená cena za technickú vybavenosť  bez DPH a vrátane DPH; informácia o obstaraní technickej vybavenosti prevádzkovateľom musí byť v zmluve uvedená</w:t>
      </w:r>
    </w:p>
    <w:p w:rsidR="004779D0" w:rsidRPr="00DE4D22" w:rsidRDefault="00690238" w:rsidP="004779D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záväzok predávajúceho odovzdať predmet kúpnej zmluvy a previesť vlastnícke právo</w:t>
      </w:r>
      <w:r w:rsidR="004779D0" w:rsidRPr="00DE4D22">
        <w:rPr>
          <w:rFonts w:ascii="Arial" w:hAnsi="Arial" w:cs="Arial"/>
          <w:sz w:val="20"/>
          <w:szCs w:val="20"/>
        </w:rPr>
        <w:t>, prevod vlastníckeho práva je možný až po ú</w:t>
      </w:r>
      <w:r w:rsidR="006F1BBB" w:rsidRPr="00DE4D22">
        <w:rPr>
          <w:rFonts w:ascii="Arial" w:hAnsi="Arial" w:cs="Arial"/>
          <w:sz w:val="20"/>
          <w:szCs w:val="20"/>
        </w:rPr>
        <w:t>h</w:t>
      </w:r>
      <w:r w:rsidR="004779D0" w:rsidRPr="00DE4D22">
        <w:rPr>
          <w:rFonts w:ascii="Arial" w:hAnsi="Arial" w:cs="Arial"/>
          <w:sz w:val="20"/>
          <w:szCs w:val="20"/>
        </w:rPr>
        <w:t>rade kúpnej ceny</w:t>
      </w:r>
    </w:p>
    <w:p w:rsidR="00690238" w:rsidRPr="00DE4D22" w:rsidRDefault="00690238" w:rsidP="0069023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záväzok kupujúceho zaplatiť kúpnu cenu a prevziať predmet kúpy</w:t>
      </w:r>
    </w:p>
    <w:p w:rsidR="00690238" w:rsidRPr="00DE4D22" w:rsidRDefault="00690238" w:rsidP="0069023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platobné podmienky presne špecifikovať – tzn. zaplatenie kúpnej ceny v súlade s predkladanými faktúrami</w:t>
      </w:r>
    </w:p>
    <w:p w:rsidR="00694E98" w:rsidRDefault="00690238" w:rsidP="00694E9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E4D22">
        <w:rPr>
          <w:rFonts w:ascii="Arial" w:hAnsi="Arial" w:cs="Arial"/>
          <w:b/>
          <w:sz w:val="20"/>
          <w:szCs w:val="20"/>
        </w:rPr>
        <w:t>účet, na ktorý bude zaplatená kúpna cena musí byť identický s účtom na vystavenej faktúre</w:t>
      </w:r>
      <w:r w:rsidR="00694E98">
        <w:rPr>
          <w:rFonts w:ascii="Arial" w:hAnsi="Arial" w:cs="Arial"/>
          <w:b/>
          <w:sz w:val="20"/>
          <w:szCs w:val="20"/>
        </w:rPr>
        <w:t>,</w:t>
      </w:r>
      <w:r w:rsidR="00694E98">
        <w:rPr>
          <w:b/>
          <w:bCs/>
          <w:color w:val="FF0000"/>
        </w:rPr>
        <w:t xml:space="preserve"> </w:t>
      </w:r>
      <w:r w:rsidR="00694E98">
        <w:rPr>
          <w:b/>
          <w:bCs/>
          <w:color w:val="000000"/>
        </w:rPr>
        <w:t xml:space="preserve">rovnaké číslo účtu musí byť uvedené aj na prísľube banky o vymazaní ťarchy splatením úveru kúpou </w:t>
      </w:r>
      <w:r w:rsidR="00694E98">
        <w:rPr>
          <w:color w:val="000000"/>
        </w:rPr>
        <w:t>(prísľub banky o vymazaní ťarchy splatením úveru kúpou predmetnej nehnuteľnosti je potrebné dokladovať v prípade zabezpečenia záväzku kupovanou nehnuteľnosťou, ktorá je založená v prospech inej banky z dôvodu čerpania úveru zhotoviteľa na výstavbu – viď časť zabezpečenie)</w:t>
      </w:r>
    </w:p>
    <w:p w:rsidR="00690238" w:rsidRPr="00DE4D22" w:rsidRDefault="00690238" w:rsidP="0069023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dohodu o podaní vkladu do katastra nehnuteľnosti</w:t>
      </w:r>
    </w:p>
    <w:p w:rsidR="00690238" w:rsidRPr="00DE4D22" w:rsidRDefault="00690238" w:rsidP="0069023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správa domu, ak je dohodnutá</w:t>
      </w:r>
    </w:p>
    <w:p w:rsidR="004779D0" w:rsidRPr="00DE4D22" w:rsidRDefault="00690238" w:rsidP="004779D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záverečné ustanovenia a dátum uzatvorenia zmluvy...., úradne overené podpisy zmluvných strán (za stranu predávajúceho podpísať zmluvu v súlade s konaním uvedeným v OR resp. ŽR)</w:t>
      </w:r>
    </w:p>
    <w:p w:rsidR="004779D0" w:rsidRPr="00DE4D22" w:rsidRDefault="004779D0" w:rsidP="004779D0">
      <w:pPr>
        <w:overflowPunct w:val="0"/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Pozn: v prípade, že je predávajúcim  fyzická osoba – podnikateľ, musí mať  v identifikačných údajoch zmluvnej strany uvedené IČO aj rodné číslo</w:t>
      </w:r>
    </w:p>
    <w:p w:rsidR="004779D0" w:rsidRPr="00DE4D22" w:rsidRDefault="004779D0" w:rsidP="004779D0">
      <w:pPr>
        <w:overflowPunct w:val="0"/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690238" w:rsidRPr="00DE4D22" w:rsidRDefault="00690238" w:rsidP="006902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b/>
          <w:sz w:val="20"/>
          <w:szCs w:val="20"/>
        </w:rPr>
        <w:t xml:space="preserve">Výkaz výmer  </w:t>
      </w:r>
      <w:r w:rsidRPr="00DE4D22">
        <w:rPr>
          <w:rFonts w:ascii="Arial" w:hAnsi="Arial" w:cs="Arial"/>
          <w:sz w:val="20"/>
          <w:szCs w:val="20"/>
        </w:rPr>
        <w:t>vymedzuje množstvo požadovaných  prac, konštrukcií, dodávok  a  služieb  potrebných  k  zhotoveniu  stavby.</w:t>
      </w:r>
    </w:p>
    <w:p w:rsidR="00690238" w:rsidRPr="00DE4D22" w:rsidRDefault="00690238" w:rsidP="006902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Musí obsahovať dátum vyhotovenia, potvrdenie  – pečiatka a podpis predávajúceho (stavebníka).</w:t>
      </w:r>
    </w:p>
    <w:p w:rsidR="004E198B" w:rsidRPr="00DE4D22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690238" w:rsidRPr="00DE4D22" w:rsidRDefault="00690238" w:rsidP="0069023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4D22">
        <w:rPr>
          <w:rFonts w:ascii="Arial" w:hAnsi="Arial" w:cs="Arial"/>
          <w:b/>
          <w:sz w:val="20"/>
          <w:szCs w:val="20"/>
          <w:u w:val="single"/>
        </w:rPr>
        <w:t xml:space="preserve">Príloha </w:t>
      </w:r>
      <w:r w:rsidR="00536765" w:rsidRPr="00DE4D22">
        <w:rPr>
          <w:rFonts w:ascii="Arial" w:hAnsi="Arial" w:cs="Arial"/>
          <w:b/>
          <w:sz w:val="20"/>
          <w:szCs w:val="20"/>
          <w:u w:val="single"/>
        </w:rPr>
        <w:t>8</w:t>
      </w:r>
      <w:r w:rsidRPr="00DE4D22">
        <w:rPr>
          <w:rFonts w:ascii="Arial" w:hAnsi="Arial" w:cs="Arial"/>
          <w:b/>
          <w:sz w:val="20"/>
          <w:szCs w:val="20"/>
          <w:u w:val="single"/>
        </w:rPr>
        <w:t>.</w:t>
      </w:r>
    </w:p>
    <w:p w:rsidR="00690238" w:rsidRPr="00DE4D22" w:rsidRDefault="00690238" w:rsidP="006902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Budúci predávajúci musí byť zhotoviteľom stavby.</w:t>
      </w:r>
    </w:p>
    <w:p w:rsidR="00690238" w:rsidRPr="00DE4D22" w:rsidRDefault="00690238" w:rsidP="0069023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 xml:space="preserve">Zmluva o budúcej kúpnej zmluve musí obsahovať obdobné požiadavky uvedené v prílohe č. </w:t>
      </w:r>
      <w:r w:rsidR="00536765" w:rsidRPr="00DE4D22">
        <w:rPr>
          <w:rFonts w:ascii="Arial" w:hAnsi="Arial" w:cs="Arial"/>
          <w:sz w:val="20"/>
          <w:szCs w:val="20"/>
        </w:rPr>
        <w:t>6</w:t>
      </w:r>
      <w:r w:rsidRPr="00DE4D22">
        <w:rPr>
          <w:rFonts w:ascii="Arial" w:hAnsi="Arial" w:cs="Arial"/>
          <w:sz w:val="20"/>
          <w:szCs w:val="20"/>
        </w:rPr>
        <w:t xml:space="preserve"> – kúpna zmluva a nasledujúce:</w:t>
      </w:r>
    </w:p>
    <w:p w:rsidR="00690238" w:rsidRPr="00DE4D22" w:rsidRDefault="00690238" w:rsidP="00690238">
      <w:pPr>
        <w:overflowPunct w:val="0"/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- záväzok zhotoviť stavbu v súlade s podmienkami zákona č. 150/2013 o ŠFRB a zákona č. 443/2010   v znení nesko</w:t>
      </w:r>
      <w:r w:rsidR="00536765" w:rsidRPr="00DE4D22">
        <w:rPr>
          <w:rFonts w:ascii="Arial" w:hAnsi="Arial" w:cs="Arial"/>
          <w:sz w:val="20"/>
          <w:szCs w:val="20"/>
        </w:rPr>
        <w:t>r</w:t>
      </w:r>
      <w:r w:rsidRPr="00DE4D22">
        <w:rPr>
          <w:rFonts w:ascii="Arial" w:hAnsi="Arial" w:cs="Arial"/>
          <w:sz w:val="20"/>
          <w:szCs w:val="20"/>
        </w:rPr>
        <w:t>ších predpisov o dotáciách na rozvoj bývania a sociálnom bývaní</w:t>
      </w:r>
    </w:p>
    <w:p w:rsidR="00690238" w:rsidRPr="00DE4D22" w:rsidRDefault="00690238" w:rsidP="00536765">
      <w:pPr>
        <w:overflowPunct w:val="0"/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- záväzok uzatvoriť riadnu kúpnu zmluvu do určitého termínu, najneskôr do konca mesiaca august v druhom kalendárnom roku nasledujúcom po roku, v ktorom bola uzavretá zmluva o budúcej kúpnej zmluve.</w:t>
      </w:r>
    </w:p>
    <w:p w:rsidR="00536765" w:rsidRPr="00DE4D22" w:rsidRDefault="00536765" w:rsidP="0053676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90238" w:rsidRPr="00DE4D22" w:rsidRDefault="00690238" w:rsidP="0053676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E4D22">
        <w:rPr>
          <w:rFonts w:ascii="Arial" w:hAnsi="Arial" w:cs="Arial"/>
          <w:b/>
          <w:sz w:val="20"/>
          <w:szCs w:val="20"/>
        </w:rPr>
        <w:t xml:space="preserve">Výkaz výmer  </w:t>
      </w:r>
      <w:r w:rsidRPr="00DE4D22">
        <w:rPr>
          <w:rFonts w:ascii="Arial" w:hAnsi="Arial" w:cs="Arial"/>
          <w:sz w:val="20"/>
          <w:szCs w:val="20"/>
        </w:rPr>
        <w:t>vymedzuje množstvo požadovaných  prac, konštrukcií, dodávok  a  služieb  potrebných  k  zhotoveniu  stavby.</w:t>
      </w:r>
    </w:p>
    <w:p w:rsidR="00690238" w:rsidRPr="00DE4D22" w:rsidRDefault="00690238" w:rsidP="0053676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Musí obsahovať dátum vyhotovenia, potvrdenie  – pečiatka a podpis budúceho predávajúceho (zhotoviteľa).</w:t>
      </w:r>
    </w:p>
    <w:p w:rsidR="00690238" w:rsidRPr="00DE4D22" w:rsidRDefault="00690238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DE4D22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E4D22">
        <w:rPr>
          <w:rFonts w:ascii="Arial" w:eastAsia="Calibri" w:hAnsi="Arial" w:cs="Arial"/>
          <w:b/>
          <w:sz w:val="20"/>
          <w:szCs w:val="20"/>
          <w:u w:val="single"/>
        </w:rPr>
        <w:t>Príloha 7.</w:t>
      </w:r>
    </w:p>
    <w:p w:rsidR="004E198B" w:rsidRPr="00DE4D22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E4D22">
        <w:rPr>
          <w:rFonts w:ascii="Arial" w:eastAsia="Calibri" w:hAnsi="Arial" w:cs="Arial"/>
          <w:sz w:val="20"/>
          <w:szCs w:val="20"/>
        </w:rPr>
        <w:t xml:space="preserve">Protokol o skutočnom vyhotovení stavby a vybavení bytu - potvrdzujúci skutočné prevedenie stavby BD, vybavenie bytov a fotodokumentáciu </w:t>
      </w:r>
      <w:r w:rsidR="00536765" w:rsidRPr="00DE4D22">
        <w:rPr>
          <w:rFonts w:ascii="Arial" w:eastAsia="Calibri" w:hAnsi="Arial" w:cs="Arial"/>
          <w:sz w:val="20"/>
          <w:szCs w:val="20"/>
          <w:u w:val="single"/>
        </w:rPr>
        <w:t>každého bytu</w:t>
      </w:r>
      <w:r w:rsidR="00536765" w:rsidRPr="00DE4D22">
        <w:rPr>
          <w:rFonts w:ascii="Arial" w:eastAsia="Calibri" w:hAnsi="Arial" w:cs="Arial"/>
          <w:sz w:val="20"/>
          <w:szCs w:val="20"/>
        </w:rPr>
        <w:t xml:space="preserve"> </w:t>
      </w:r>
      <w:r w:rsidRPr="00DE4D22">
        <w:rPr>
          <w:rFonts w:ascii="Arial" w:eastAsia="Calibri" w:hAnsi="Arial" w:cs="Arial"/>
          <w:sz w:val="20"/>
          <w:szCs w:val="20"/>
        </w:rPr>
        <w:t>- potvrdený zhotoviteľom (predávajúcim) a žiadateľom kupujúcim).</w:t>
      </w:r>
    </w:p>
    <w:p w:rsidR="004E198B" w:rsidRPr="00DE4D22" w:rsidRDefault="004E198B" w:rsidP="004E19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E4D22">
        <w:rPr>
          <w:rFonts w:ascii="Arial" w:eastAsia="Calibri" w:hAnsi="Arial" w:cs="Arial"/>
          <w:sz w:val="20"/>
          <w:szCs w:val="20"/>
          <w:u w:val="single"/>
        </w:rPr>
        <w:t xml:space="preserve">Protokol je potrebné vypracovať na základe obhliadky na stavbe </w:t>
      </w:r>
      <w:r w:rsidRPr="00DE4D22">
        <w:rPr>
          <w:rFonts w:ascii="Arial" w:eastAsia="Calibri" w:hAnsi="Arial" w:cs="Arial"/>
          <w:sz w:val="20"/>
          <w:szCs w:val="20"/>
        </w:rPr>
        <w:t>a musí potvrdzovať, že :</w:t>
      </w:r>
    </w:p>
    <w:p w:rsidR="004E198B" w:rsidRPr="00DE4D22" w:rsidRDefault="004E198B" w:rsidP="004E198B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E4D22">
        <w:rPr>
          <w:rFonts w:ascii="Arial" w:eastAsia="Calibri" w:hAnsi="Arial" w:cs="Arial"/>
          <w:sz w:val="20"/>
          <w:szCs w:val="20"/>
        </w:rPr>
        <w:t>stavba bola zrealizovaná v súlade s PD overenou v stavebnom konaní alebo bol doložený projekt skutočného vyhotovenia stavby overený v kolaudačnom konaní (preveriť prevádzkyschopnosť stavby a jednotlivých bytov)</w:t>
      </w:r>
    </w:p>
    <w:p w:rsidR="004E198B" w:rsidRPr="00DE4D22" w:rsidRDefault="004E198B" w:rsidP="004E198B">
      <w:pPr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E4D22">
        <w:rPr>
          <w:rFonts w:ascii="Arial" w:eastAsia="Calibri" w:hAnsi="Arial" w:cs="Arial"/>
          <w:sz w:val="20"/>
          <w:szCs w:val="20"/>
        </w:rPr>
        <w:t>vybavenie bytov je štandardné a v súlade so špecifikáciou vybavenia bytov v kúpnej zmluve (tzv. „ holobyty “ nie sú akceptovateľné )</w:t>
      </w:r>
    </w:p>
    <w:p w:rsidR="00536765" w:rsidRPr="00DE4D22" w:rsidRDefault="00536765" w:rsidP="00536765">
      <w:pPr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 xml:space="preserve">Pozn.: súčasťou žiadosti o úver je Protokol o skutočnom vyhotovení stavby a vybavení bytu len v prípade kúpy nájomných bytov na základe kúpnej zmluvy. V prípade podania žiadosti na základe zmluvy o budúcej kúpnej zmluve sa tento doklad okrem iného vyžaduje po kolaudácii stavby, pred prvým čerpaním úverových prostriedkov. </w:t>
      </w:r>
    </w:p>
    <w:p w:rsidR="004E198B" w:rsidRPr="00DE4D22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E4D22">
        <w:rPr>
          <w:rFonts w:ascii="Arial" w:eastAsia="Calibri" w:hAnsi="Arial" w:cs="Arial"/>
          <w:b/>
          <w:sz w:val="20"/>
          <w:szCs w:val="20"/>
          <w:u w:val="single"/>
        </w:rPr>
        <w:t>Príloha 9.</w:t>
      </w:r>
    </w:p>
    <w:p w:rsidR="004E198B" w:rsidRPr="00DE4D22" w:rsidRDefault="004E198B" w:rsidP="004E198B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E4D22">
        <w:rPr>
          <w:rFonts w:ascii="Arial" w:eastAsia="Calibri" w:hAnsi="Arial" w:cs="Arial"/>
          <w:sz w:val="20"/>
          <w:szCs w:val="20"/>
        </w:rPr>
        <w:t>vypracovanie tabuľky podľa priloženého vzoru</w:t>
      </w:r>
    </w:p>
    <w:p w:rsidR="004E198B" w:rsidRPr="004E198B" w:rsidRDefault="004E198B" w:rsidP="004E198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 xml:space="preserve">vypracovanie tabuľky môže urobiť odborná osoba  zhotoviteľa s vyčíslením cien ( OC ) jednotlivých bytov zo ŠFRB </w:t>
      </w:r>
    </w:p>
    <w:p w:rsidR="004E198B" w:rsidRPr="004E198B" w:rsidRDefault="004E198B" w:rsidP="004E198B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tabuľku potvrdiť  žiadateľom o podporu  zo ŠFRB</w:t>
      </w:r>
    </w:p>
    <w:p w:rsidR="004E198B" w:rsidRDefault="004E198B" w:rsidP="004E19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E198B">
        <w:rPr>
          <w:rFonts w:ascii="Arial" w:eastAsia="Calibri" w:hAnsi="Arial" w:cs="Arial"/>
          <w:sz w:val="20"/>
          <w:szCs w:val="20"/>
        </w:rPr>
        <w:t>Obstarávacou cenou je cena dohodnutá v kúpnej zmluve alebo zmluve o budúcej kúpnej zmluve. Cena pozemku, technickej infraštruktúry, garáže a nebytového priestoru sa do obstarávacej ceny nezapočítava (ani cena ich spoluvlastníckeho podielu).</w:t>
      </w:r>
    </w:p>
    <w:p w:rsidR="00536765" w:rsidRDefault="00536765" w:rsidP="004E19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362"/>
        <w:gridCol w:w="2693"/>
        <w:gridCol w:w="2126"/>
        <w:gridCol w:w="1843"/>
      </w:tblGrid>
      <w:tr w:rsidR="00536765" w:rsidRPr="00DE4D22" w:rsidTr="00540C34"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6B1322">
            <w:pPr>
              <w:spacing w:after="0" w:line="240" w:lineRule="auto"/>
              <w:jc w:val="center"/>
            </w:pPr>
            <w:r w:rsidRPr="00DE4D22">
              <w:rPr>
                <w:b/>
              </w:rPr>
              <w:t>Obstarávanie nájomných bytov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6B1322">
            <w:pPr>
              <w:spacing w:after="0" w:line="240" w:lineRule="auto"/>
              <w:jc w:val="center"/>
            </w:pPr>
            <w:r w:rsidRPr="00DE4D22">
              <w:rPr>
                <w:b/>
              </w:rPr>
              <w:t>Priemerná podlahová plocha bytov v dome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6B1322">
            <w:pPr>
              <w:spacing w:after="0" w:line="240" w:lineRule="auto"/>
              <w:jc w:val="center"/>
            </w:pPr>
            <w:r w:rsidRPr="00DE4D22">
              <w:rPr>
                <w:b/>
              </w:rPr>
              <w:t>Max. priemerný oprávnený náklad stavby na 1 m</w:t>
            </w:r>
            <w:r w:rsidRPr="00DE4D22">
              <w:rPr>
                <w:b/>
                <w:vertAlign w:val="superscript"/>
              </w:rPr>
              <w:t>2</w:t>
            </w:r>
            <w:r w:rsidRPr="00DE4D22">
              <w:rPr>
                <w:b/>
              </w:rPr>
              <w:t xml:space="preserve"> podlahovej plochy bytu</w:t>
            </w:r>
            <w:r w:rsidRPr="00DE4D22">
              <w:rPr>
                <w:b/>
              </w:rPr>
              <w:sym w:font="Symbol" w:char="F02A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6B1322">
            <w:pPr>
              <w:spacing w:after="0" w:line="240" w:lineRule="auto"/>
              <w:jc w:val="center"/>
              <w:rPr>
                <w:b/>
              </w:rPr>
            </w:pPr>
            <w:r w:rsidRPr="00DE4D22">
              <w:rPr>
                <w:b/>
              </w:rPr>
              <w:t>Max. podiel</w:t>
            </w:r>
          </w:p>
          <w:p w:rsidR="00536765" w:rsidRPr="00DE4D22" w:rsidRDefault="00536765" w:rsidP="006B1322">
            <w:pPr>
              <w:spacing w:after="0" w:line="240" w:lineRule="auto"/>
              <w:jc w:val="center"/>
            </w:pPr>
            <w:r w:rsidRPr="00DE4D22">
              <w:rPr>
                <w:b/>
              </w:rPr>
              <w:t>dotácie</w:t>
            </w:r>
          </w:p>
        </w:tc>
      </w:tr>
      <w:tr w:rsidR="00536765" w:rsidRPr="00DE4D22" w:rsidTr="00540C34">
        <w:tc>
          <w:tcPr>
            <w:tcW w:w="800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</w:pPr>
            <w:r w:rsidRPr="00DE4D22">
              <w:rPr>
                <w:b/>
              </w:rPr>
              <w:t>KÚPA</w:t>
            </w:r>
          </w:p>
        </w:tc>
      </w:tr>
      <w:tr w:rsidR="00536765" w:rsidRPr="00DE4D22" w:rsidTr="00540C34">
        <w:tc>
          <w:tcPr>
            <w:tcW w:w="1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t>Bežný štandard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t>do 50 m</w:t>
            </w:r>
            <w:r w:rsidRPr="00DE4D22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rPr>
                <w:b/>
              </w:rPr>
              <w:t>900 €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t>40%</w:t>
            </w:r>
          </w:p>
        </w:tc>
      </w:tr>
      <w:tr w:rsidR="00536765" w:rsidRPr="00DE4D22" w:rsidTr="00540C34">
        <w:tc>
          <w:tcPr>
            <w:tcW w:w="13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t>od 50 m</w:t>
            </w:r>
            <w:r w:rsidRPr="00DE4D22">
              <w:rPr>
                <w:vertAlign w:val="superscript"/>
              </w:rPr>
              <w:t>2</w:t>
            </w:r>
            <w:r w:rsidRPr="00DE4D22">
              <w:t xml:space="preserve"> do 56 m</w:t>
            </w:r>
            <w:r w:rsidRPr="00DE4D22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rPr>
                <w:b/>
              </w:rPr>
              <w:t>890 €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t>35%</w:t>
            </w:r>
          </w:p>
        </w:tc>
      </w:tr>
      <w:tr w:rsidR="00536765" w:rsidRPr="00DE4D22" w:rsidTr="00540C34">
        <w:tc>
          <w:tcPr>
            <w:tcW w:w="13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t>od 56 m</w:t>
            </w:r>
            <w:r w:rsidRPr="00DE4D22">
              <w:rPr>
                <w:vertAlign w:val="superscript"/>
              </w:rPr>
              <w:t>2</w:t>
            </w:r>
            <w:r w:rsidRPr="00DE4D22">
              <w:t xml:space="preserve"> </w:t>
            </w:r>
            <w:r w:rsidRPr="00DE4D22">
              <w:rPr>
                <w:b/>
              </w:rPr>
              <w:t>do 60 m</w:t>
            </w:r>
            <w:r w:rsidRPr="00DE4D22">
              <w:rPr>
                <w:b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rPr>
                <w:b/>
              </w:rPr>
              <w:t>880 €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t>30%</w:t>
            </w:r>
          </w:p>
        </w:tc>
      </w:tr>
      <w:tr w:rsidR="00536765" w:rsidRPr="00DE4D22" w:rsidTr="00540C34">
        <w:tc>
          <w:tcPr>
            <w:tcW w:w="1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t>Nižší</w:t>
            </w:r>
          </w:p>
          <w:p w:rsidR="00536765" w:rsidRPr="00DE4D22" w:rsidRDefault="00536765" w:rsidP="00536765">
            <w:pPr>
              <w:spacing w:after="0"/>
              <w:jc w:val="center"/>
            </w:pPr>
            <w:r w:rsidRPr="00DE4D22">
              <w:t xml:space="preserve"> štandard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t>do 45 m</w:t>
            </w:r>
            <w:r w:rsidRPr="00DE4D22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rPr>
                <w:b/>
              </w:rPr>
              <w:t>605 €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t>75%</w:t>
            </w:r>
          </w:p>
        </w:tc>
      </w:tr>
      <w:tr w:rsidR="00536765" w:rsidRPr="00DE4D22" w:rsidTr="00540C34">
        <w:tc>
          <w:tcPr>
            <w:tcW w:w="13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t>od 45 m</w:t>
            </w:r>
            <w:r w:rsidRPr="00DE4D22">
              <w:rPr>
                <w:vertAlign w:val="superscript"/>
              </w:rPr>
              <w:t>2</w:t>
            </w:r>
            <w:r w:rsidRPr="00DE4D22">
              <w:t xml:space="preserve"> </w:t>
            </w:r>
            <w:r w:rsidRPr="00DE4D22">
              <w:rPr>
                <w:b/>
              </w:rPr>
              <w:t>do 55 m</w:t>
            </w:r>
            <w:r w:rsidRPr="00DE4D22">
              <w:rPr>
                <w:b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rPr>
                <w:b/>
              </w:rPr>
              <w:t>585 €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tcMar>
              <w:left w:w="70" w:type="dxa"/>
              <w:right w:w="70" w:type="dxa"/>
            </w:tcMar>
            <w:vAlign w:val="center"/>
          </w:tcPr>
          <w:p w:rsidR="00536765" w:rsidRPr="00DE4D22" w:rsidRDefault="00536765" w:rsidP="00536765">
            <w:pPr>
              <w:spacing w:after="0"/>
              <w:jc w:val="center"/>
            </w:pPr>
            <w:r w:rsidRPr="00DE4D22">
              <w:t>70%</w:t>
            </w:r>
          </w:p>
        </w:tc>
      </w:tr>
    </w:tbl>
    <w:p w:rsidR="00536765" w:rsidRPr="00DE4D22" w:rsidRDefault="00536765" w:rsidP="0053676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36765" w:rsidRPr="00DE4D22" w:rsidRDefault="00536765" w:rsidP="006B1322">
      <w:pPr>
        <w:spacing w:after="0" w:line="240" w:lineRule="auto"/>
        <w:jc w:val="both"/>
        <w:rPr>
          <w:u w:val="single"/>
        </w:rPr>
      </w:pPr>
      <w:r w:rsidRPr="00DE4D22">
        <w:sym w:font="Symbol" w:char="F02A"/>
      </w:r>
      <w:r w:rsidRPr="00DE4D22">
        <w:t>Maximálny priemerný oprávnený náklad stavby na 1 m ² podlahovej plochy bytu je vypočítaný z celkovej obstarávacej ceny stavby vrátane DPH.</w:t>
      </w:r>
    </w:p>
    <w:p w:rsidR="004E198B" w:rsidRPr="00DE4D22" w:rsidRDefault="004E198B" w:rsidP="004E198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Príloha 10.</w:t>
      </w:r>
    </w:p>
    <w:p w:rsidR="00F32A1C" w:rsidRPr="00DE4D22" w:rsidRDefault="00F32A1C" w:rsidP="00F32A1C">
      <w:pPr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V prípade, že došlo k zmenám v projektovej dokumentácii,  je potrebné tieto zmeny vyznačiť červenou farbou v projektovej dokumentácii pre stavebné povolenie. Tieto zmeny vyznačí projektant a potvrdí  pečiatkou a podpisom.</w:t>
      </w:r>
    </w:p>
    <w:p w:rsidR="00F32A1C" w:rsidRPr="00DE4D22" w:rsidRDefault="00F32A1C" w:rsidP="00F32A1C">
      <w:pPr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Projekt skutočného vyhotovenia stavby je potrebné vypracovať len v prípade, že došlo k podstatným zmenám stavby (zmenám vo vonkajších rozmeroch stavby a pod.)</w:t>
      </w:r>
    </w:p>
    <w:p w:rsidR="00F32A1C" w:rsidRPr="00DE4D22" w:rsidRDefault="00F32A1C" w:rsidP="00F32A1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E4D22">
        <w:rPr>
          <w:rFonts w:ascii="Arial" w:hAnsi="Arial" w:cs="Arial"/>
          <w:sz w:val="20"/>
          <w:szCs w:val="20"/>
          <w:u w:val="single"/>
        </w:rPr>
        <w:t>Príloha 11.</w:t>
      </w:r>
    </w:p>
    <w:p w:rsidR="00F32A1C" w:rsidRPr="00DE4D22" w:rsidRDefault="00F32A1C" w:rsidP="00F32A1C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b/>
          <w:bCs/>
          <w:sz w:val="20"/>
          <w:szCs w:val="20"/>
        </w:rPr>
        <w:t>Energetický certifikát</w:t>
      </w:r>
      <w:r w:rsidRPr="00DE4D22">
        <w:rPr>
          <w:rFonts w:ascii="Arial" w:hAnsi="Arial" w:cs="Arial"/>
          <w:bCs/>
          <w:sz w:val="20"/>
          <w:szCs w:val="20"/>
        </w:rPr>
        <w:t>, prípadne p</w:t>
      </w:r>
      <w:r w:rsidRPr="00DE4D22">
        <w:rPr>
          <w:rFonts w:ascii="Arial" w:hAnsi="Arial" w:cs="Arial"/>
          <w:b/>
          <w:sz w:val="20"/>
          <w:szCs w:val="20"/>
        </w:rPr>
        <w:t>rojektové energetické hodnotenie budovy</w:t>
      </w:r>
      <w:r w:rsidRPr="00DE4D22">
        <w:rPr>
          <w:rFonts w:ascii="Arial" w:hAnsi="Arial" w:cs="Arial"/>
          <w:sz w:val="20"/>
          <w:szCs w:val="20"/>
        </w:rPr>
        <w:t xml:space="preserve"> preukazujúce splnenie podmienky:</w:t>
      </w:r>
    </w:p>
    <w:p w:rsidR="00F32A1C" w:rsidRPr="00DE4D22" w:rsidRDefault="00F32A1C" w:rsidP="00F32A1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 xml:space="preserve">potreba tepla na vykurovanie bytového domu alebo bytovej časti polyfunkčného domu určená výpočtom je najviac 50 KWh/(m² . a) </w:t>
      </w:r>
    </w:p>
    <w:p w:rsidR="00F32A1C" w:rsidRPr="00DE4D22" w:rsidRDefault="00F32A1C" w:rsidP="00F32A1C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4D22">
        <w:rPr>
          <w:rFonts w:ascii="Arial" w:hAnsi="Arial" w:cs="Arial"/>
          <w:sz w:val="20"/>
          <w:szCs w:val="20"/>
        </w:rPr>
        <w:t>potreba  tepla na vykurovanie rodinného domu určená  výpočtom je  najviac 81,4 kWh/(m² . a)</w:t>
      </w:r>
    </w:p>
    <w:p w:rsidR="004E198B" w:rsidRPr="00DE4D22" w:rsidRDefault="004E198B" w:rsidP="00F32A1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F32A1C" w:rsidRPr="00DE4D22" w:rsidRDefault="00F32A1C" w:rsidP="00D13B52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E4D22">
        <w:rPr>
          <w:rFonts w:ascii="Arial" w:hAnsi="Arial" w:cs="Arial"/>
          <w:sz w:val="20"/>
          <w:szCs w:val="20"/>
          <w:u w:val="single"/>
        </w:rPr>
        <w:t>Príloha 12.</w:t>
      </w:r>
    </w:p>
    <w:p w:rsidR="00F32A1C" w:rsidRPr="00DE4D22" w:rsidRDefault="00F32A1C" w:rsidP="00D13B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Budúci predávajúci musí byť zhotoviteľom stavby. Podľa výpisu z OR, alebo živnostenského registra musí mať zhotoviteľ na zhotovovanie stavieb oprávnenie.</w:t>
      </w:r>
    </w:p>
    <w:p w:rsidR="00F32A1C" w:rsidRDefault="00F32A1C" w:rsidP="00F32A1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E198B" w:rsidRPr="004E198B" w:rsidRDefault="004E198B" w:rsidP="00F32A1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4E198B">
        <w:rPr>
          <w:rFonts w:ascii="Arial" w:eastAsia="Calibri" w:hAnsi="Arial" w:cs="Arial"/>
          <w:b/>
          <w:sz w:val="20"/>
          <w:szCs w:val="20"/>
          <w:u w:val="single"/>
        </w:rPr>
        <w:t>Príloha 30.</w:t>
      </w:r>
    </w:p>
    <w:p w:rsidR="004779D0" w:rsidRPr="00B00984" w:rsidRDefault="004779D0" w:rsidP="004779D0">
      <w:pPr>
        <w:jc w:val="both"/>
        <w:rPr>
          <w:rFonts w:ascii="Arial" w:hAnsi="Arial" w:cs="Arial"/>
          <w:sz w:val="20"/>
          <w:szCs w:val="20"/>
        </w:rPr>
      </w:pPr>
      <w:r w:rsidRPr="00B00984">
        <w:rPr>
          <w:rFonts w:ascii="Arial" w:hAnsi="Arial" w:cs="Arial"/>
          <w:sz w:val="20"/>
          <w:szCs w:val="20"/>
          <w:u w:val="single"/>
        </w:rPr>
        <w:t>Zabezpečenie záväzku nehnuteľnosťou:</w:t>
      </w:r>
    </w:p>
    <w:p w:rsidR="004779D0" w:rsidRPr="000604B7" w:rsidRDefault="004779D0" w:rsidP="004779D0">
      <w:pPr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0604B7">
        <w:rPr>
          <w:rFonts w:ascii="Arial" w:hAnsi="Arial" w:cs="Arial"/>
          <w:sz w:val="20"/>
          <w:szCs w:val="20"/>
          <w:u w:val="single"/>
        </w:rPr>
        <w:t xml:space="preserve">zabezpečenie </w:t>
      </w:r>
      <w:r w:rsidRPr="000604B7">
        <w:rPr>
          <w:rFonts w:ascii="Arial" w:hAnsi="Arial" w:cs="Arial"/>
          <w:b/>
          <w:sz w:val="20"/>
          <w:szCs w:val="20"/>
          <w:u w:val="single"/>
        </w:rPr>
        <w:t>kupovanou nehnuteľnosťou</w:t>
      </w:r>
      <w:r w:rsidRPr="000604B7">
        <w:rPr>
          <w:rFonts w:ascii="Arial" w:hAnsi="Arial" w:cs="Arial"/>
          <w:sz w:val="20"/>
          <w:szCs w:val="20"/>
          <w:u w:val="single"/>
        </w:rPr>
        <w:t xml:space="preserve">  vo vlastníctve </w:t>
      </w:r>
      <w:r w:rsidRPr="000604B7">
        <w:rPr>
          <w:rFonts w:ascii="Arial" w:hAnsi="Arial" w:cs="Arial"/>
          <w:b/>
          <w:sz w:val="20"/>
          <w:szCs w:val="20"/>
          <w:u w:val="single"/>
        </w:rPr>
        <w:t>zhotoviteľa–predávajúceho</w:t>
      </w:r>
      <w:r w:rsidRPr="000604B7">
        <w:rPr>
          <w:rFonts w:ascii="Arial" w:hAnsi="Arial" w:cs="Arial"/>
          <w:i/>
          <w:sz w:val="20"/>
          <w:szCs w:val="20"/>
        </w:rPr>
        <w:t xml:space="preserve"> </w:t>
      </w:r>
      <w:r w:rsidRPr="000604B7">
        <w:rPr>
          <w:rFonts w:ascii="Arial" w:hAnsi="Arial" w:cs="Arial"/>
          <w:sz w:val="20"/>
          <w:szCs w:val="20"/>
        </w:rPr>
        <w:t xml:space="preserve"> </w:t>
      </w:r>
    </w:p>
    <w:p w:rsidR="004779D0" w:rsidRPr="00DE4D22" w:rsidRDefault="004779D0" w:rsidP="004779D0">
      <w:pPr>
        <w:numPr>
          <w:ilvl w:val="1"/>
          <w:numId w:val="2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535124">
        <w:rPr>
          <w:rFonts w:ascii="Arial" w:hAnsi="Arial" w:cs="Arial"/>
          <w:sz w:val="20"/>
          <w:szCs w:val="20"/>
        </w:rPr>
        <w:t xml:space="preserve">list vlastníctva k predmetu záložného práva </w:t>
      </w:r>
      <w:r w:rsidRPr="00DE4D22">
        <w:rPr>
          <w:rFonts w:ascii="Arial" w:hAnsi="Arial" w:cs="Arial"/>
          <w:sz w:val="20"/>
          <w:szCs w:val="20"/>
        </w:rPr>
        <w:t>(maximálne 3 mesiace starý) osvedčujúci vlastníctvo k predmetnej nehnuteľnosti vrátane pozemku pod nehnuteľnosťou spolu s prístupovou cestou k nehnuteľnosti,</w:t>
      </w:r>
      <w:r w:rsidRPr="00DE4D22">
        <w:rPr>
          <w:rFonts w:ascii="Arial" w:hAnsi="Arial" w:cs="Arial"/>
          <w:b/>
          <w:sz w:val="20"/>
          <w:szCs w:val="20"/>
        </w:rPr>
        <w:t xml:space="preserve"> </w:t>
      </w:r>
      <w:r w:rsidRPr="00DE4D22">
        <w:rPr>
          <w:rFonts w:ascii="Arial" w:hAnsi="Arial" w:cs="Arial"/>
          <w:sz w:val="20"/>
          <w:szCs w:val="20"/>
        </w:rPr>
        <w:t>bez ťarchy (akceptovaná bude iba ťarcha doložená prísľubom banky o  vymazaní ťarchy splatením úveru kúpou predmetnej nehnuteľnosti z úveru ŠFRB).</w:t>
      </w:r>
    </w:p>
    <w:p w:rsidR="004779D0" w:rsidRPr="00DE4D22" w:rsidRDefault="004779D0" w:rsidP="004779D0">
      <w:pPr>
        <w:numPr>
          <w:ilvl w:val="1"/>
          <w:numId w:val="24"/>
        </w:num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aktuálny znalecký posudok (maximálne 3 mesiace starý</w:t>
      </w:r>
      <w:r w:rsidRPr="00DE4D22">
        <w:rPr>
          <w:rFonts w:ascii="Arial" w:hAnsi="Arial" w:cs="Arial"/>
          <w:b/>
          <w:sz w:val="20"/>
          <w:szCs w:val="20"/>
        </w:rPr>
        <w:t>) - hodnota kupovanej nehnuteľnosti v znaleckom posudku (len bytov alebo bytovej budovy bez ceny pozemku, techn. infraštruktúry, oplotenia, vonkajších úprav, atď....) nesmie byť nižšia ako kúpna cena tejto nehnuteľnosti dokladovaná v kúpnej zmluve (upozornenie: ale znalecký posudok musí byť vypracovaný na všetky zakladané nehnuteľnosti!)</w:t>
      </w:r>
    </w:p>
    <w:p w:rsidR="004779D0" w:rsidRPr="00DE4D22" w:rsidRDefault="004779D0" w:rsidP="004779D0">
      <w:pPr>
        <w:numPr>
          <w:ilvl w:val="1"/>
          <w:numId w:val="24"/>
        </w:numPr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overené čestné prehlásenie na základe, ktorého dáva zhotoviteľ (vlastník nehnuteľnosti)  k dispozícii predmetnú nehnuteľnosť dlžníkovi na zabezpečenie záväzku voči ŠFRB tzn. súhlas vlastníka, prípadne spoluvlastníkov nehnuteľnosti so zriadením záložného práva v prospech ŠFRB</w:t>
      </w:r>
    </w:p>
    <w:p w:rsidR="004779D0" w:rsidRDefault="004779D0" w:rsidP="004779D0">
      <w:pPr>
        <w:ind w:left="426"/>
        <w:jc w:val="both"/>
        <w:rPr>
          <w:rFonts w:ascii="Arial" w:hAnsi="Arial" w:cs="Arial"/>
          <w:sz w:val="20"/>
          <w:szCs w:val="20"/>
          <w:u w:val="single"/>
        </w:rPr>
      </w:pPr>
    </w:p>
    <w:p w:rsidR="004779D0" w:rsidRPr="001D1629" w:rsidRDefault="004779D0" w:rsidP="004779D0">
      <w:pPr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B00984">
        <w:rPr>
          <w:rFonts w:ascii="Arial" w:hAnsi="Arial" w:cs="Arial"/>
          <w:sz w:val="20"/>
          <w:szCs w:val="20"/>
          <w:u w:val="single"/>
        </w:rPr>
        <w:t xml:space="preserve">zabezpečenie nehnuteľnosťou vo vlastníctve </w:t>
      </w:r>
      <w:r w:rsidRPr="00B0098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žiadateľa</w:t>
      </w:r>
    </w:p>
    <w:p w:rsidR="004779D0" w:rsidRPr="00DE4D22" w:rsidRDefault="004779D0" w:rsidP="004779D0">
      <w:pPr>
        <w:spacing w:after="0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4D22">
        <w:rPr>
          <w:rFonts w:ascii="Arial" w:hAnsi="Arial" w:cs="Arial"/>
          <w:b/>
          <w:sz w:val="20"/>
          <w:szCs w:val="20"/>
          <w:u w:val="single"/>
        </w:rPr>
        <w:t>dočasné zabezpečenie</w:t>
      </w:r>
    </w:p>
    <w:p w:rsidR="004779D0" w:rsidRPr="00DE4D22" w:rsidRDefault="004779D0" w:rsidP="004779D0">
      <w:pPr>
        <w:numPr>
          <w:ilvl w:val="1"/>
          <w:numId w:val="24"/>
        </w:num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list vlastníctva k predmetu záložného práva (maximálne 3 mesiace starý) osvedčujúci vlastníctvo  žiadateľa  k predmetnej</w:t>
      </w:r>
      <w:r w:rsidRPr="00DE4D22">
        <w:rPr>
          <w:rFonts w:ascii="Arial" w:hAnsi="Arial" w:cs="Arial"/>
          <w:b/>
          <w:sz w:val="20"/>
          <w:szCs w:val="20"/>
        </w:rPr>
        <w:t xml:space="preserve"> </w:t>
      </w:r>
      <w:r w:rsidRPr="00DE4D22">
        <w:rPr>
          <w:rFonts w:ascii="Arial" w:hAnsi="Arial" w:cs="Arial"/>
          <w:sz w:val="20"/>
          <w:szCs w:val="20"/>
        </w:rPr>
        <w:t>nehnuteľnosti  vrátane pozemku pod nehnuteľnosťou spolu s prístupovou cestou k nehnuteľnosti , bez ťarchy</w:t>
      </w:r>
    </w:p>
    <w:p w:rsidR="004779D0" w:rsidRPr="00DE4D22" w:rsidRDefault="004779D0" w:rsidP="004779D0">
      <w:p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 xml:space="preserve">(Ak je nehnuteľnosť zaťažená v prospech inej banky, je potrebné dokladovať súhlas tejto banky s pristúpením ŠFRB ako záložného veriteľa v prvom rade). </w:t>
      </w:r>
    </w:p>
    <w:p w:rsidR="004779D0" w:rsidRPr="00DE4D22" w:rsidRDefault="004779D0" w:rsidP="004779D0">
      <w:pPr>
        <w:numPr>
          <w:ilvl w:val="1"/>
          <w:numId w:val="2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aktuálny znalecký posudok (maximálne 3 mesiace starý)</w:t>
      </w:r>
      <w:r w:rsidRPr="00DE4D22">
        <w:rPr>
          <w:rFonts w:ascii="Arial" w:hAnsi="Arial" w:cs="Arial"/>
          <w:b/>
          <w:sz w:val="20"/>
          <w:szCs w:val="20"/>
        </w:rPr>
        <w:t xml:space="preserve"> - hodnota nehnuteľnosti v znaleckom posudku musí byť vo výške min.1,3 násobku požadovaného úveru</w:t>
      </w:r>
    </w:p>
    <w:p w:rsidR="004779D0" w:rsidRPr="00DE4D22" w:rsidRDefault="004779D0" w:rsidP="004779D0">
      <w:pPr>
        <w:jc w:val="both"/>
        <w:rPr>
          <w:rFonts w:ascii="Arial" w:hAnsi="Arial" w:cs="Arial"/>
          <w:sz w:val="20"/>
          <w:szCs w:val="20"/>
        </w:rPr>
      </w:pPr>
    </w:p>
    <w:p w:rsidR="004779D0" w:rsidRPr="001D1629" w:rsidRDefault="004779D0" w:rsidP="004779D0">
      <w:pPr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0604B7">
        <w:rPr>
          <w:rFonts w:ascii="Arial" w:hAnsi="Arial" w:cs="Arial"/>
          <w:sz w:val="20"/>
          <w:szCs w:val="20"/>
          <w:u w:val="single"/>
        </w:rPr>
        <w:t xml:space="preserve">zabezpečenie nehnuteľnosťou vo vlastníctve  </w:t>
      </w:r>
      <w:r w:rsidRPr="000604B7">
        <w:rPr>
          <w:rFonts w:ascii="Arial" w:hAnsi="Arial" w:cs="Arial"/>
          <w:b/>
          <w:sz w:val="20"/>
          <w:szCs w:val="20"/>
          <w:u w:val="single"/>
        </w:rPr>
        <w:t xml:space="preserve">inej </w:t>
      </w:r>
      <w:r w:rsidRPr="000604B7">
        <w:rPr>
          <w:rFonts w:ascii="Arial" w:hAnsi="Arial" w:cs="Arial"/>
          <w:b/>
          <w:sz w:val="20"/>
          <w:szCs w:val="20"/>
        </w:rPr>
        <w:t>(</w:t>
      </w:r>
      <w:r w:rsidRPr="000604B7">
        <w:rPr>
          <w:rFonts w:ascii="Arial" w:hAnsi="Arial" w:cs="Arial"/>
          <w:b/>
          <w:sz w:val="20"/>
          <w:szCs w:val="20"/>
          <w:u w:val="single"/>
        </w:rPr>
        <w:t>tretej) osoby ako žiadateľa</w:t>
      </w:r>
    </w:p>
    <w:p w:rsidR="004779D0" w:rsidRPr="00DE4D22" w:rsidRDefault="004779D0" w:rsidP="004779D0">
      <w:pPr>
        <w:spacing w:after="0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4D22">
        <w:rPr>
          <w:rFonts w:ascii="Arial" w:hAnsi="Arial" w:cs="Arial"/>
          <w:b/>
          <w:sz w:val="20"/>
          <w:szCs w:val="20"/>
          <w:u w:val="single"/>
        </w:rPr>
        <w:t xml:space="preserve">dočasné zabezečenie </w:t>
      </w:r>
    </w:p>
    <w:p w:rsidR="004779D0" w:rsidRPr="00DE4D22" w:rsidRDefault="004779D0" w:rsidP="004779D0">
      <w:pPr>
        <w:numPr>
          <w:ilvl w:val="1"/>
          <w:numId w:val="24"/>
        </w:num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list vlastníctva k predmetu záložného práva (maximálne 3 mesiace starý)</w:t>
      </w:r>
      <w:r w:rsidRPr="00DE4D22">
        <w:rPr>
          <w:rFonts w:ascii="Arial" w:hAnsi="Arial" w:cs="Arial"/>
          <w:b/>
          <w:sz w:val="20"/>
          <w:szCs w:val="20"/>
        </w:rPr>
        <w:t xml:space="preserve"> </w:t>
      </w:r>
      <w:r w:rsidRPr="00DE4D22">
        <w:rPr>
          <w:rFonts w:ascii="Arial" w:hAnsi="Arial" w:cs="Arial"/>
          <w:sz w:val="20"/>
          <w:szCs w:val="20"/>
        </w:rPr>
        <w:t>osvedčujúci vlastníctvo k predmetnej nehnuteľnosti vrátane pozemku pod nehnuteľnosťou spolu s prístupovou cestou k nehnuteľnosti bez ťarchy</w:t>
      </w:r>
    </w:p>
    <w:p w:rsidR="004779D0" w:rsidRPr="00DE4D22" w:rsidRDefault="004779D0" w:rsidP="004779D0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 xml:space="preserve">(Ak je nehnuteľnosť zaťažená v prospech inej banky, je potrebné dokladovať súhlas tejto banky s pristúpením ŠFRB ako záložného veriteľa v prvom rade). </w:t>
      </w:r>
    </w:p>
    <w:p w:rsidR="004779D0" w:rsidRPr="000604B7" w:rsidRDefault="004779D0" w:rsidP="004779D0">
      <w:pPr>
        <w:numPr>
          <w:ilvl w:val="1"/>
          <w:numId w:val="24"/>
        </w:num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0604B7">
        <w:rPr>
          <w:rFonts w:ascii="Arial" w:hAnsi="Arial" w:cs="Arial"/>
          <w:sz w:val="20"/>
          <w:szCs w:val="20"/>
        </w:rPr>
        <w:t xml:space="preserve">aktuálny znalecký </w:t>
      </w:r>
      <w:r>
        <w:rPr>
          <w:rFonts w:ascii="Arial" w:hAnsi="Arial" w:cs="Arial"/>
          <w:sz w:val="20"/>
          <w:szCs w:val="20"/>
        </w:rPr>
        <w:t xml:space="preserve">   </w:t>
      </w:r>
      <w:r w:rsidRPr="000604B7">
        <w:rPr>
          <w:rFonts w:ascii="Arial" w:hAnsi="Arial" w:cs="Arial"/>
          <w:sz w:val="20"/>
          <w:szCs w:val="20"/>
        </w:rPr>
        <w:t>posudok (maximálne 3 mesiace starý)</w:t>
      </w:r>
      <w:r w:rsidRPr="0041667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0604B7">
        <w:rPr>
          <w:rFonts w:ascii="Arial" w:hAnsi="Arial" w:cs="Arial"/>
          <w:b/>
          <w:sz w:val="20"/>
          <w:szCs w:val="20"/>
        </w:rPr>
        <w:t>hodnota nehnuteľnosti v znaleckom posudku musí byť vo výške min.1,3 násobku požadovaného úveru</w:t>
      </w:r>
    </w:p>
    <w:p w:rsidR="004779D0" w:rsidRPr="005620FA" w:rsidRDefault="004779D0" w:rsidP="004779D0">
      <w:pPr>
        <w:numPr>
          <w:ilvl w:val="1"/>
          <w:numId w:val="24"/>
        </w:numPr>
        <w:spacing w:after="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0604B7">
        <w:rPr>
          <w:rFonts w:ascii="Arial" w:hAnsi="Arial" w:cs="Arial"/>
          <w:sz w:val="20"/>
          <w:szCs w:val="20"/>
        </w:rPr>
        <w:t xml:space="preserve">overené čestné prehlásenie na základe, ktorého dáva vlastník nehnuteľnosti k dispozícii predmetnú nehnuteľnosť </w:t>
      </w:r>
      <w:r>
        <w:rPr>
          <w:rFonts w:ascii="Arial" w:hAnsi="Arial" w:cs="Arial"/>
          <w:sz w:val="20"/>
          <w:szCs w:val="20"/>
        </w:rPr>
        <w:t>žiadateľovi</w:t>
      </w:r>
      <w:r w:rsidRPr="000604B7">
        <w:rPr>
          <w:rFonts w:ascii="Arial" w:hAnsi="Arial" w:cs="Arial"/>
          <w:sz w:val="20"/>
          <w:szCs w:val="20"/>
        </w:rPr>
        <w:t xml:space="preserve">  na zabezpečenie záväzku voči ŠFRB tzn. súhlas vlastníka, prípadne spoluvlastníkov nehnuteľnosti so zriadením záložného práva v prospech ŠFRB</w:t>
      </w:r>
    </w:p>
    <w:p w:rsidR="004779D0" w:rsidRPr="000604B7" w:rsidRDefault="004779D0" w:rsidP="004779D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779D0" w:rsidRPr="000604B7" w:rsidRDefault="004779D0" w:rsidP="004779D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04B7">
        <w:rPr>
          <w:rFonts w:ascii="Arial" w:hAnsi="Arial" w:cs="Arial"/>
          <w:b/>
          <w:sz w:val="20"/>
          <w:szCs w:val="20"/>
          <w:u w:val="single"/>
        </w:rPr>
        <w:t>Znalecký posudok musí byť vypracovaný na všetky zakladané nehnuteľnosti. Pod zakladanými nehnuteľnosťami sa rozumie stavba, pozemok, na ktorom je stavba postavená</w:t>
      </w:r>
      <w:r>
        <w:rPr>
          <w:rFonts w:ascii="Arial" w:hAnsi="Arial" w:cs="Arial"/>
          <w:b/>
          <w:sz w:val="20"/>
          <w:szCs w:val="20"/>
          <w:u w:val="single"/>
        </w:rPr>
        <w:t xml:space="preserve">. V prípade, ak nie je zabezpečený priamy prístup k verejnej komunikácii, zakladajú sa aj </w:t>
      </w:r>
      <w:r w:rsidRPr="000604B7">
        <w:rPr>
          <w:rFonts w:ascii="Arial" w:hAnsi="Arial" w:cs="Arial"/>
          <w:b/>
          <w:sz w:val="20"/>
          <w:szCs w:val="20"/>
          <w:u w:val="single"/>
        </w:rPr>
        <w:t>priľahlé pozemky zabezpečujúce prístup k verejnej komunikácii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4779D0" w:rsidRDefault="004779D0" w:rsidP="004779D0">
      <w:pPr>
        <w:jc w:val="both"/>
        <w:rPr>
          <w:rFonts w:ascii="Arial" w:hAnsi="Arial" w:cs="Arial"/>
          <w:sz w:val="20"/>
          <w:szCs w:val="20"/>
        </w:rPr>
      </w:pPr>
      <w:r w:rsidRPr="000604B7">
        <w:rPr>
          <w:rFonts w:ascii="Arial" w:hAnsi="Arial" w:cs="Arial"/>
          <w:sz w:val="20"/>
          <w:szCs w:val="20"/>
        </w:rPr>
        <w:t xml:space="preserve">Z hľadiska úspešnej vymožiteľnosti prípadnej pohľadávky je potrebné prijímať ako formu zabezpečenia takú nehnuteľnosť, ktorá je spôsobilým predmetom záložnej zmluvy, to znamená bez tiarch. </w:t>
      </w:r>
    </w:p>
    <w:p w:rsidR="004779D0" w:rsidRDefault="004779D0" w:rsidP="004779D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zabezpečení úveru kupovanou nehnuteľnosťou bude a</w:t>
      </w:r>
      <w:r>
        <w:rPr>
          <w:rFonts w:ascii="Arial" w:hAnsi="Arial" w:cs="Arial"/>
          <w:color w:val="000000"/>
          <w:sz w:val="20"/>
          <w:szCs w:val="20"/>
        </w:rPr>
        <w:t>kceptovaná bude iba ťarcha doložená prísľubom banky o  vymazaní splatením úveru kúpou predmetnej nehnuteľnosti z úveru ŠFRB.</w:t>
      </w:r>
    </w:p>
    <w:p w:rsidR="004779D0" w:rsidRPr="00DE4D22" w:rsidRDefault="004779D0" w:rsidP="004779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Potvrdenie banky predávajúceho musí obsahovať najmä tieto údaje:</w:t>
      </w:r>
    </w:p>
    <w:p w:rsidR="004779D0" w:rsidRPr="00DE4D22" w:rsidRDefault="004779D0" w:rsidP="004779D0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-písomný prísľub banky predávajúceho podať na katastrány odbor okresného úradu žiadosť o výmaz    záložného do 5 dní od pripísania prostriedkov (uvedená výška prostriedkov)</w:t>
      </w:r>
    </w:p>
    <w:p w:rsidR="004779D0" w:rsidRPr="00DE4D22" w:rsidRDefault="004779D0" w:rsidP="004779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- číslo vkladu záložného práva banky predávajúceho</w:t>
      </w:r>
    </w:p>
    <w:p w:rsidR="004779D0" w:rsidRPr="00DE4D22" w:rsidRDefault="004779D0" w:rsidP="004779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- číslo úverovej zmluvy uzatvorenej medzi bankou predávajúceho a predávajúcim</w:t>
      </w:r>
    </w:p>
    <w:p w:rsidR="004779D0" w:rsidRPr="00DE4D22" w:rsidRDefault="004779D0" w:rsidP="004779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- aktuálny zostatok úveru</w:t>
      </w:r>
    </w:p>
    <w:p w:rsidR="004779D0" w:rsidRDefault="004779D0" w:rsidP="004779D0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DE4D22">
        <w:rPr>
          <w:rFonts w:ascii="Arial" w:hAnsi="Arial" w:cs="Arial"/>
          <w:sz w:val="20"/>
          <w:szCs w:val="20"/>
        </w:rPr>
        <w:t>- číslo účtu, na ktoý majú byť poukázané prostriedky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4779D0" w:rsidRDefault="004779D0" w:rsidP="004779D0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779D0" w:rsidRPr="005D7ED1" w:rsidRDefault="004779D0" w:rsidP="001121C0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5D7ED1">
        <w:rPr>
          <w:rFonts w:ascii="Arial" w:hAnsi="Arial" w:cs="Arial"/>
          <w:b/>
          <w:sz w:val="20"/>
          <w:szCs w:val="20"/>
          <w:highlight w:val="yellow"/>
          <w:u w:val="single"/>
        </w:rPr>
        <w:t>Pri kúpe nehnuteľnosti na základe zmluvy o budúcej kúpnej zmluve:</w:t>
      </w:r>
    </w:p>
    <w:p w:rsidR="004779D0" w:rsidRPr="00DE4D22" w:rsidRDefault="004779D0" w:rsidP="001121C0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Ž</w:t>
      </w:r>
      <w:r w:rsidRPr="004C2713">
        <w:rPr>
          <w:rFonts w:ascii="Arial" w:hAnsi="Arial" w:cs="Arial"/>
          <w:sz w:val="20"/>
          <w:szCs w:val="20"/>
          <w:highlight w:val="yellow"/>
        </w:rPr>
        <w:t>iadateľ</w:t>
      </w:r>
      <w:r>
        <w:rPr>
          <w:rFonts w:ascii="Arial" w:hAnsi="Arial" w:cs="Arial"/>
          <w:sz w:val="20"/>
          <w:szCs w:val="20"/>
          <w:highlight w:val="yellow"/>
        </w:rPr>
        <w:t xml:space="preserve"> môže</w:t>
      </w:r>
      <w:r w:rsidRPr="004C2713">
        <w:rPr>
          <w:rFonts w:ascii="Arial" w:hAnsi="Arial" w:cs="Arial"/>
          <w:sz w:val="20"/>
          <w:szCs w:val="20"/>
          <w:highlight w:val="yellow"/>
        </w:rPr>
        <w:t xml:space="preserve"> pri podaní žiadosti o úver ŠFRB ručiť aj rozostavanou stavbou, ktorá má byť predmetom budúcej kúpy. Rozostavaná stavba musí byť zapísaná na liste vlastníctva. Ku dňu podania žiadosti</w:t>
      </w:r>
      <w:r>
        <w:rPr>
          <w:rFonts w:ascii="Arial" w:hAnsi="Arial" w:cs="Arial"/>
          <w:sz w:val="20"/>
          <w:szCs w:val="20"/>
          <w:highlight w:val="yellow"/>
        </w:rPr>
        <w:t xml:space="preserve"> nehnuteľnosť -</w:t>
      </w:r>
      <w:r w:rsidRPr="004C2713">
        <w:rPr>
          <w:rFonts w:ascii="Arial" w:hAnsi="Arial" w:cs="Arial"/>
          <w:sz w:val="20"/>
          <w:szCs w:val="20"/>
          <w:highlight w:val="yellow"/>
        </w:rPr>
        <w:t xml:space="preserve"> rozostavaná stavba nemusí dosahovať požadovanú hodnotu</w:t>
      </w:r>
      <w:r>
        <w:rPr>
          <w:rFonts w:ascii="Arial" w:hAnsi="Arial" w:cs="Arial"/>
          <w:sz w:val="20"/>
          <w:szCs w:val="20"/>
          <w:highlight w:val="yellow"/>
        </w:rPr>
        <w:t xml:space="preserve"> (hodnota nehnuteľnosti je v žiadosti dokladovaná znaleckým posudkom)</w:t>
      </w:r>
      <w:r w:rsidRPr="004C2713">
        <w:rPr>
          <w:rFonts w:ascii="Arial" w:hAnsi="Arial" w:cs="Arial"/>
          <w:sz w:val="20"/>
          <w:szCs w:val="20"/>
          <w:highlight w:val="yellow"/>
        </w:rPr>
        <w:t xml:space="preserve">, avšak pred uvoľnením čerpania finančných prostriedkov úveru žiadateľ predloží znalecký posudok, </w:t>
      </w:r>
      <w:r w:rsidRPr="00DE4D22">
        <w:rPr>
          <w:rFonts w:ascii="Arial" w:hAnsi="Arial" w:cs="Arial"/>
          <w:sz w:val="20"/>
          <w:szCs w:val="20"/>
          <w:highlight w:val="yellow"/>
        </w:rPr>
        <w:t xml:space="preserve">podľa ktorého už  hodnota kupovanej nehnuteľnosti (len bytov alebo bytovej budovy bez ceny pozemku, techn. infraštruktúry, oplotenia, vonkajších úprav, atď...) nesmie byť nižšia ako kúpna cena tejto nehnuteľnosti uvedená v kúpnej zmluve uzavretej </w:t>
      </w:r>
      <w:r w:rsidR="001121C0" w:rsidRPr="00DE4D22">
        <w:rPr>
          <w:rFonts w:ascii="Arial" w:hAnsi="Arial" w:cs="Arial"/>
          <w:sz w:val="20"/>
          <w:szCs w:val="20"/>
          <w:highlight w:val="yellow"/>
        </w:rPr>
        <w:t xml:space="preserve">kupujúcim - </w:t>
      </w:r>
      <w:r w:rsidRPr="00DE4D22">
        <w:rPr>
          <w:rFonts w:ascii="Arial" w:hAnsi="Arial" w:cs="Arial"/>
          <w:sz w:val="20"/>
          <w:szCs w:val="20"/>
          <w:highlight w:val="yellow"/>
        </w:rPr>
        <w:t xml:space="preserve">žiadateľom a predávajúcim. </w:t>
      </w:r>
    </w:p>
    <w:p w:rsidR="004779D0" w:rsidRPr="00DE4D22" w:rsidRDefault="004779D0" w:rsidP="001121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713">
        <w:rPr>
          <w:rFonts w:ascii="Arial" w:hAnsi="Arial" w:cs="Arial"/>
          <w:sz w:val="20"/>
          <w:szCs w:val="20"/>
          <w:highlight w:val="yellow"/>
        </w:rPr>
        <w:t xml:space="preserve">V prípade, že žiadateľ  ku dňu podania žiadosti o úver ŠFRB ručí inou ako kupovanou nehnuteľnosťou, hodnota nehnuteľnosti podľa znaleckého </w:t>
      </w:r>
      <w:r w:rsidRPr="00DE4D22">
        <w:rPr>
          <w:rFonts w:ascii="Arial" w:hAnsi="Arial" w:cs="Arial"/>
          <w:sz w:val="20"/>
          <w:szCs w:val="20"/>
          <w:highlight w:val="yellow"/>
        </w:rPr>
        <w:t>posudku</w:t>
      </w:r>
      <w:r w:rsidR="00DE4D22" w:rsidRPr="00DE4D2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E4D22">
        <w:rPr>
          <w:rFonts w:ascii="Arial" w:hAnsi="Arial" w:cs="Arial"/>
          <w:sz w:val="20"/>
          <w:szCs w:val="20"/>
          <w:highlight w:val="yellow"/>
        </w:rPr>
        <w:t>nie je limitovaná.</w:t>
      </w:r>
    </w:p>
    <w:p w:rsidR="001121C0" w:rsidRPr="00535124" w:rsidRDefault="001121C0" w:rsidP="001121C0">
      <w:pPr>
        <w:spacing w:after="0"/>
        <w:jc w:val="both"/>
        <w:rPr>
          <w:rFonts w:ascii="Arial" w:hAnsi="Arial" w:cs="Arial"/>
          <w:strike/>
          <w:sz w:val="20"/>
          <w:szCs w:val="20"/>
        </w:rPr>
      </w:pPr>
      <w:bookmarkStart w:id="0" w:name="_GoBack"/>
      <w:bookmarkEnd w:id="0"/>
    </w:p>
    <w:p w:rsidR="004C7588" w:rsidRPr="00DE4D22" w:rsidRDefault="004C7588" w:rsidP="004C7588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E4D22">
        <w:rPr>
          <w:rFonts w:ascii="Arial" w:eastAsia="Calibri" w:hAnsi="Arial" w:cs="Arial"/>
          <w:sz w:val="20"/>
          <w:szCs w:val="20"/>
        </w:rPr>
        <w:t>Potvrdenie o úhrade poistenia nehnuteľnosti pre prípad následkov živelných udalostí  môže byť dokladované potvrdením poisťovne , výpisom z účtu (nie z internetbankingu), iným dokladu o úhrade s jednoznačne identifikovateľnou platbou.</w:t>
      </w:r>
      <w:r w:rsidRPr="00DE4D22">
        <w:rPr>
          <w:rFonts w:ascii="Arial" w:eastAsia="Calibri" w:hAnsi="Arial" w:cs="Arial"/>
          <w:sz w:val="18"/>
          <w:szCs w:val="18"/>
        </w:rPr>
        <w:t xml:space="preserve"> </w:t>
      </w:r>
      <w:r w:rsidRPr="00DE4D22">
        <w:rPr>
          <w:rFonts w:ascii="Arial" w:eastAsia="Calibri" w:hAnsi="Arial" w:cs="Arial"/>
          <w:sz w:val="20"/>
          <w:szCs w:val="20"/>
        </w:rPr>
        <w:t xml:space="preserve"> </w:t>
      </w:r>
    </w:p>
    <w:p w:rsidR="004E198B" w:rsidRPr="00DE4D22" w:rsidRDefault="004E198B" w:rsidP="004E198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E4D22">
        <w:rPr>
          <w:rFonts w:ascii="Arial" w:eastAsia="Calibri" w:hAnsi="Arial" w:cs="Arial"/>
          <w:b/>
          <w:sz w:val="20"/>
          <w:szCs w:val="20"/>
          <w:u w:val="single"/>
        </w:rPr>
        <w:t>Príloha 31.</w:t>
      </w:r>
    </w:p>
    <w:p w:rsidR="004E198B" w:rsidRPr="00DE4D22" w:rsidRDefault="004E198B" w:rsidP="004E19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E4D22">
        <w:rPr>
          <w:rFonts w:ascii="Arial" w:eastAsia="Calibri" w:hAnsi="Arial" w:cs="Arial"/>
          <w:sz w:val="20"/>
          <w:szCs w:val="20"/>
        </w:rPr>
        <w:t>Zabezpečenie záväzku bankovou zárukou</w:t>
      </w:r>
    </w:p>
    <w:p w:rsidR="004E198B" w:rsidRPr="00DE4D22" w:rsidRDefault="004E198B" w:rsidP="009667C1">
      <w:pPr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E4D22">
        <w:rPr>
          <w:rFonts w:ascii="Arial" w:eastAsia="Calibri" w:hAnsi="Arial" w:cs="Arial"/>
          <w:sz w:val="20"/>
          <w:szCs w:val="20"/>
        </w:rPr>
        <w:t xml:space="preserve">záväzný písomný prísľub resp. záväzná zmluva o poskytnutí bankovej záruky </w:t>
      </w:r>
      <w:r w:rsidR="009667C1" w:rsidRPr="00DE4D22">
        <w:rPr>
          <w:rFonts w:ascii="Arial" w:hAnsi="Arial" w:cs="Arial"/>
          <w:sz w:val="20"/>
          <w:szCs w:val="20"/>
        </w:rPr>
        <w:t xml:space="preserve">(údaje o predmete BZ, trvaní BZ, záruka min. do výšky požadovaného úveru) </w:t>
      </w:r>
    </w:p>
    <w:p w:rsidR="004E198B" w:rsidRPr="004E198B" w:rsidRDefault="004E198B" w:rsidP="004E198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E4D22">
        <w:rPr>
          <w:rFonts w:ascii="Arial" w:eastAsia="Calibri" w:hAnsi="Arial" w:cs="Arial"/>
          <w:sz w:val="20"/>
          <w:szCs w:val="20"/>
        </w:rPr>
        <w:t>Poznámka:  indikatívny prísľub banky o poskytnutí bankovej záruky</w:t>
      </w:r>
      <w:r w:rsidRPr="004E198B">
        <w:rPr>
          <w:rFonts w:ascii="Arial" w:eastAsia="Calibri" w:hAnsi="Arial" w:cs="Arial"/>
          <w:sz w:val="20"/>
          <w:szCs w:val="20"/>
        </w:rPr>
        <w:t xml:space="preserve"> nie je  záväzným dokladom banky, žiadateľ nemá k dispozícii žiadnu formu zábezpeky úveru poskytnutého ŠFRB – žiadosť je považovaná za neúplnú</w:t>
      </w:r>
    </w:p>
    <w:p w:rsidR="004E198B" w:rsidRDefault="004E198B"/>
    <w:sectPr w:rsidR="004E198B" w:rsidSect="00DB2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728" w:rsidRDefault="009B2728" w:rsidP="00EB4AD6">
      <w:pPr>
        <w:spacing w:after="0" w:line="240" w:lineRule="auto"/>
      </w:pPr>
      <w:r>
        <w:separator/>
      </w:r>
    </w:p>
  </w:endnote>
  <w:endnote w:type="continuationSeparator" w:id="0">
    <w:p w:rsidR="009B2728" w:rsidRDefault="009B2728" w:rsidP="00EB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63" w:rsidRDefault="007E0D6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6251"/>
      <w:docPartObj>
        <w:docPartGallery w:val="Page Numbers (Bottom of Page)"/>
        <w:docPartUnique/>
      </w:docPartObj>
    </w:sdtPr>
    <w:sdtContent>
      <w:p w:rsidR="004779D0" w:rsidRDefault="004779D0" w:rsidP="00CB2EF0">
        <w:pPr>
          <w:pStyle w:val="Pta"/>
        </w:pPr>
        <w:r>
          <w:rPr>
            <w:rFonts w:ascii="Arial" w:hAnsi="Arial" w:cs="Arial"/>
            <w:color w:val="808080"/>
          </w:rPr>
          <w:t>ŠFRB_ŽIADOSŤ O POSKYTNUTIE PODPORY_ PO-NB-NO</w:t>
        </w:r>
        <w:r w:rsidR="006957F5">
          <w:rPr>
            <w:rFonts w:ascii="Arial" w:hAnsi="Arial" w:cs="Arial"/>
            <w:color w:val="808080"/>
          </w:rPr>
          <w:t>_</w:t>
        </w:r>
        <w:r>
          <w:rPr>
            <w:rFonts w:ascii="Arial" w:hAnsi="Arial" w:cs="Arial"/>
            <w:color w:val="808080"/>
          </w:rPr>
          <w:t>02</w:t>
        </w:r>
        <w:r w:rsidR="006957F5">
          <w:rPr>
            <w:rFonts w:ascii="Arial" w:hAnsi="Arial" w:cs="Arial"/>
            <w:color w:val="808080"/>
          </w:rPr>
          <w:t>_2015</w:t>
        </w:r>
        <w:r>
          <w:rPr>
            <w:rFonts w:ascii="Arial" w:hAnsi="Arial" w:cs="Arial"/>
          </w:rPr>
          <w:tab/>
          <w:t xml:space="preserve">Strana  </w:t>
        </w:r>
        <w:r w:rsidR="001B0893"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 w:rsidR="001B0893">
          <w:rPr>
            <w:rFonts w:ascii="Arial" w:hAnsi="Arial" w:cs="Arial"/>
          </w:rPr>
          <w:fldChar w:fldCharType="separate"/>
        </w:r>
        <w:r w:rsidR="002D42A9">
          <w:rPr>
            <w:rFonts w:ascii="Arial" w:hAnsi="Arial" w:cs="Arial"/>
            <w:noProof/>
          </w:rPr>
          <w:t>6</w:t>
        </w:r>
        <w:r w:rsidR="001B0893">
          <w:rPr>
            <w:rFonts w:ascii="Arial" w:hAnsi="Arial" w:cs="Arial"/>
          </w:rPr>
          <w:fldChar w:fldCharType="end"/>
        </w:r>
      </w:p>
      <w:p w:rsidR="004779D0" w:rsidRDefault="001B0893">
        <w:pPr>
          <w:pStyle w:val="Pta"/>
          <w:jc w:val="right"/>
        </w:pPr>
      </w:p>
    </w:sdtContent>
  </w:sdt>
  <w:p w:rsidR="004779D0" w:rsidRDefault="004779D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D0" w:rsidRDefault="004779D0" w:rsidP="00CB2EF0">
    <w:pPr>
      <w:pStyle w:val="Pta"/>
    </w:pPr>
    <w:r>
      <w:rPr>
        <w:rFonts w:ascii="Arial" w:hAnsi="Arial" w:cs="Arial"/>
        <w:color w:val="808080"/>
      </w:rPr>
      <w:t>ŠFRB_ŽIADOSŤ O POSKYTNUTIE PODPORY_ PO-NB-NO</w:t>
    </w:r>
    <w:r w:rsidR="007E0D63">
      <w:rPr>
        <w:rFonts w:ascii="Arial" w:hAnsi="Arial" w:cs="Arial"/>
        <w:color w:val="808080"/>
      </w:rPr>
      <w:t>_</w:t>
    </w:r>
    <w:r>
      <w:rPr>
        <w:rFonts w:ascii="Arial" w:hAnsi="Arial" w:cs="Arial"/>
        <w:color w:val="808080"/>
      </w:rPr>
      <w:t>02</w:t>
    </w:r>
    <w:r w:rsidR="007E0D63">
      <w:rPr>
        <w:rFonts w:ascii="Arial" w:hAnsi="Arial" w:cs="Arial"/>
        <w:color w:val="808080"/>
      </w:rPr>
      <w:t>_2015</w:t>
    </w:r>
    <w:r>
      <w:rPr>
        <w:rFonts w:ascii="Arial" w:hAnsi="Arial" w:cs="Arial"/>
      </w:rPr>
      <w:tab/>
      <w:t xml:space="preserve">Strana  </w:t>
    </w:r>
    <w:r w:rsidR="001B0893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 w:rsidR="001B0893">
      <w:rPr>
        <w:rFonts w:ascii="Arial" w:hAnsi="Arial" w:cs="Arial"/>
      </w:rPr>
      <w:fldChar w:fldCharType="separate"/>
    </w:r>
    <w:r w:rsidR="009B2728">
      <w:rPr>
        <w:rFonts w:ascii="Arial" w:hAnsi="Arial" w:cs="Arial"/>
        <w:noProof/>
      </w:rPr>
      <w:t>1</w:t>
    </w:r>
    <w:r w:rsidR="001B0893">
      <w:rPr>
        <w:rFonts w:ascii="Arial" w:hAnsi="Arial" w:cs="Arial"/>
      </w:rPr>
      <w:fldChar w:fldCharType="end"/>
    </w:r>
  </w:p>
  <w:p w:rsidR="004779D0" w:rsidRDefault="004779D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728" w:rsidRDefault="009B2728" w:rsidP="00EB4AD6">
      <w:pPr>
        <w:spacing w:after="0" w:line="240" w:lineRule="auto"/>
      </w:pPr>
      <w:r>
        <w:separator/>
      </w:r>
    </w:p>
  </w:footnote>
  <w:footnote w:type="continuationSeparator" w:id="0">
    <w:p w:rsidR="009B2728" w:rsidRDefault="009B2728" w:rsidP="00EB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63" w:rsidRDefault="007E0D6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D0" w:rsidRPr="00CF6A11" w:rsidRDefault="004779D0" w:rsidP="00383FC0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  <w:sz w:val="24"/>
        <w:szCs w:val="24"/>
      </w:rPr>
    </w:pPr>
    <w:r w:rsidRPr="00CF6A11">
      <w:rPr>
        <w:rFonts w:ascii="Arial" w:hAnsi="Arial" w:cs="Arial"/>
        <w:b/>
        <w:color w:val="808080"/>
        <w:sz w:val="24"/>
        <w:szCs w:val="24"/>
      </w:rPr>
      <w:t>Štátny fond rozvoja bývania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143" w:type="dxa"/>
      <w:tblBorders>
        <w:bottom w:val="single" w:sz="4" w:space="0" w:color="auto"/>
      </w:tblBorders>
      <w:tblLook w:val="04A0"/>
    </w:tblPr>
    <w:tblGrid>
      <w:gridCol w:w="6663"/>
      <w:gridCol w:w="2268"/>
    </w:tblGrid>
    <w:tr w:rsidR="004779D0" w:rsidTr="00023966">
      <w:tc>
        <w:tcPr>
          <w:tcW w:w="666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779D0" w:rsidRDefault="004779D0">
          <w:pPr>
            <w:pStyle w:val="Hlavika"/>
            <w:ind w:left="459"/>
            <w:rPr>
              <w:rFonts w:ascii="Calibri" w:eastAsia="Calibri" w:hAnsi="Calibri"/>
              <w:lang w:val="cs-CZ"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k-SK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92710</wp:posOffset>
                </wp:positionV>
                <wp:extent cx="1971675" cy="417830"/>
                <wp:effectExtent l="19050" t="0" r="9525" b="0"/>
                <wp:wrapNone/>
                <wp:docPr id="1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17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779D0" w:rsidRDefault="004779D0">
          <w:pPr>
            <w:pStyle w:val="Hlavika"/>
            <w:rPr>
              <w:rFonts w:ascii="Arial" w:eastAsia="Calibri" w:hAnsi="Arial" w:cs="Arial"/>
              <w:b/>
              <w:lang w:val="cs-CZ" w:eastAsia="cs-CZ"/>
            </w:rPr>
          </w:pPr>
        </w:p>
        <w:p w:rsidR="004779D0" w:rsidRDefault="004779D0">
          <w:pPr>
            <w:pStyle w:val="Hlavika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 xml:space="preserve"> Lamačská cesta 8 </w:t>
          </w:r>
          <w:r>
            <w:rPr>
              <w:rFonts w:ascii="Arial" w:eastAsia="Calibri" w:hAnsi="Arial" w:cs="Arial"/>
              <w:b/>
              <w:sz w:val="20"/>
              <w:szCs w:val="20"/>
            </w:rPr>
            <w:br/>
            <w:t xml:space="preserve"> 833 04 Bratislava 37</w:t>
          </w:r>
        </w:p>
        <w:p w:rsidR="004779D0" w:rsidRDefault="004779D0">
          <w:pPr>
            <w:pStyle w:val="Hlavika"/>
            <w:jc w:val="right"/>
            <w:rPr>
              <w:rFonts w:ascii="Arial" w:eastAsia="Calibri" w:hAnsi="Arial" w:cs="Arial"/>
              <w:b/>
              <w:sz w:val="20"/>
              <w:szCs w:val="20"/>
              <w:lang w:val="cs-CZ" w:eastAsia="cs-CZ"/>
            </w:rPr>
          </w:pPr>
        </w:p>
      </w:tc>
    </w:tr>
  </w:tbl>
  <w:p w:rsidR="004779D0" w:rsidRDefault="004779D0" w:rsidP="00023966">
    <w:pPr>
      <w:pStyle w:val="Hlavika"/>
      <w:rPr>
        <w:rFonts w:ascii="Arial" w:hAnsi="Arial" w:cs="Arial"/>
        <w:sz w:val="20"/>
        <w:szCs w:val="20"/>
        <w:lang w:val="cs-CZ" w:eastAsia="cs-CZ"/>
      </w:rPr>
    </w:pPr>
    <w:r>
      <w:t xml:space="preserve">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Platnosť dokumentu od: 1. 1. 2015  </w:t>
    </w:r>
  </w:p>
  <w:p w:rsidR="004779D0" w:rsidRDefault="004779D0" w:rsidP="00023966">
    <w:pPr>
      <w:pStyle w:val="Hlavika"/>
      <w:rPr>
        <w:rFonts w:ascii="Times New Roman" w:hAnsi="Times New Roman" w:cs="Times New Roman"/>
        <w:sz w:val="24"/>
        <w:szCs w:val="24"/>
      </w:rPr>
    </w:pPr>
  </w:p>
  <w:p w:rsidR="004779D0" w:rsidRDefault="004779D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B59"/>
    <w:multiLevelType w:val="hybridMultilevel"/>
    <w:tmpl w:val="BBAA0D86"/>
    <w:lvl w:ilvl="0" w:tplc="7924D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2753"/>
    <w:multiLevelType w:val="hybridMultilevel"/>
    <w:tmpl w:val="85FC925E"/>
    <w:lvl w:ilvl="0" w:tplc="F9F013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34FE"/>
    <w:multiLevelType w:val="hybridMultilevel"/>
    <w:tmpl w:val="24AAFECE"/>
    <w:lvl w:ilvl="0" w:tplc="DEDC5B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2009"/>
    <w:multiLevelType w:val="hybridMultilevel"/>
    <w:tmpl w:val="83D0508C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C61CB4"/>
    <w:multiLevelType w:val="hybridMultilevel"/>
    <w:tmpl w:val="95A46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7D8A"/>
    <w:multiLevelType w:val="hybridMultilevel"/>
    <w:tmpl w:val="D67261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75ED"/>
    <w:multiLevelType w:val="hybridMultilevel"/>
    <w:tmpl w:val="99CCB548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D5B62"/>
    <w:multiLevelType w:val="hybridMultilevel"/>
    <w:tmpl w:val="117ABA98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31F2E"/>
    <w:multiLevelType w:val="hybridMultilevel"/>
    <w:tmpl w:val="D604EF7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02F0"/>
    <w:multiLevelType w:val="hybridMultilevel"/>
    <w:tmpl w:val="9DCAD7B0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E598C"/>
    <w:multiLevelType w:val="hybridMultilevel"/>
    <w:tmpl w:val="417A5C8A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C6F71"/>
    <w:multiLevelType w:val="hybridMultilevel"/>
    <w:tmpl w:val="116263E4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C42AD"/>
    <w:multiLevelType w:val="hybridMultilevel"/>
    <w:tmpl w:val="7328315A"/>
    <w:lvl w:ilvl="0" w:tplc="7924D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2228E"/>
    <w:multiLevelType w:val="hybridMultilevel"/>
    <w:tmpl w:val="D2942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B34D7"/>
    <w:multiLevelType w:val="hybridMultilevel"/>
    <w:tmpl w:val="9B769D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62428"/>
    <w:multiLevelType w:val="hybridMultilevel"/>
    <w:tmpl w:val="AF74A2C8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D088B"/>
    <w:multiLevelType w:val="hybridMultilevel"/>
    <w:tmpl w:val="EA32FD0A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67434"/>
    <w:multiLevelType w:val="hybridMultilevel"/>
    <w:tmpl w:val="6DDE60F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B3664"/>
    <w:multiLevelType w:val="hybridMultilevel"/>
    <w:tmpl w:val="C8C853EE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C01A9"/>
    <w:multiLevelType w:val="hybridMultilevel"/>
    <w:tmpl w:val="D038842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435038E"/>
    <w:multiLevelType w:val="hybridMultilevel"/>
    <w:tmpl w:val="EA44D19A"/>
    <w:lvl w:ilvl="0" w:tplc="C3F64A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1207E7"/>
    <w:multiLevelType w:val="hybridMultilevel"/>
    <w:tmpl w:val="C01ECD42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86561"/>
    <w:multiLevelType w:val="hybridMultilevel"/>
    <w:tmpl w:val="650E69A6"/>
    <w:lvl w:ilvl="0" w:tplc="F9F013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A59E3"/>
    <w:multiLevelType w:val="hybridMultilevel"/>
    <w:tmpl w:val="2128799E"/>
    <w:lvl w:ilvl="0" w:tplc="EF588A0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3"/>
  </w:num>
  <w:num w:numId="5">
    <w:abstractNumId w:val="2"/>
  </w:num>
  <w:num w:numId="6">
    <w:abstractNumId w:val="22"/>
  </w:num>
  <w:num w:numId="7">
    <w:abstractNumId w:val="21"/>
  </w:num>
  <w:num w:numId="8">
    <w:abstractNumId w:val="16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3"/>
  </w:num>
  <w:num w:numId="16">
    <w:abstractNumId w:val="15"/>
  </w:num>
  <w:num w:numId="17">
    <w:abstractNumId w:val="17"/>
  </w:num>
  <w:num w:numId="18">
    <w:abstractNumId w:val="8"/>
  </w:num>
  <w:num w:numId="19">
    <w:abstractNumId w:val="5"/>
  </w:num>
  <w:num w:numId="20">
    <w:abstractNumId w:val="0"/>
  </w:num>
  <w:num w:numId="21">
    <w:abstractNumId w:val="12"/>
  </w:num>
  <w:num w:numId="22">
    <w:abstractNumId w:val="18"/>
  </w:num>
  <w:num w:numId="23">
    <w:abstractNumId w:val="19"/>
  </w:num>
  <w:num w:numId="24">
    <w:abstractNumId w:val="20"/>
  </w:num>
  <w:num w:numId="2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E198B"/>
    <w:rsid w:val="00023966"/>
    <w:rsid w:val="000356BF"/>
    <w:rsid w:val="00056EE9"/>
    <w:rsid w:val="000C1162"/>
    <w:rsid w:val="000F4F46"/>
    <w:rsid w:val="001121C0"/>
    <w:rsid w:val="00114B0A"/>
    <w:rsid w:val="00152F9F"/>
    <w:rsid w:val="00174F16"/>
    <w:rsid w:val="001B0893"/>
    <w:rsid w:val="0021053D"/>
    <w:rsid w:val="002D42A9"/>
    <w:rsid w:val="00320F25"/>
    <w:rsid w:val="003273CD"/>
    <w:rsid w:val="003279A8"/>
    <w:rsid w:val="00383FC0"/>
    <w:rsid w:val="003F1B64"/>
    <w:rsid w:val="004110ED"/>
    <w:rsid w:val="00417DBE"/>
    <w:rsid w:val="00424FB3"/>
    <w:rsid w:val="004779D0"/>
    <w:rsid w:val="004C7588"/>
    <w:rsid w:val="004E198B"/>
    <w:rsid w:val="00533230"/>
    <w:rsid w:val="00533EE1"/>
    <w:rsid w:val="00536765"/>
    <w:rsid w:val="00540C34"/>
    <w:rsid w:val="00550A0F"/>
    <w:rsid w:val="00560A89"/>
    <w:rsid w:val="005D0993"/>
    <w:rsid w:val="00690238"/>
    <w:rsid w:val="00694E98"/>
    <w:rsid w:val="006957F5"/>
    <w:rsid w:val="006B1322"/>
    <w:rsid w:val="006F1BBB"/>
    <w:rsid w:val="006F6D2D"/>
    <w:rsid w:val="00746DA0"/>
    <w:rsid w:val="00752E36"/>
    <w:rsid w:val="007C34A9"/>
    <w:rsid w:val="007E0D63"/>
    <w:rsid w:val="007E77D9"/>
    <w:rsid w:val="008677BE"/>
    <w:rsid w:val="008A7B48"/>
    <w:rsid w:val="008B430D"/>
    <w:rsid w:val="009667C1"/>
    <w:rsid w:val="009B2728"/>
    <w:rsid w:val="009C1ABC"/>
    <w:rsid w:val="00A34C42"/>
    <w:rsid w:val="00A74CAC"/>
    <w:rsid w:val="00A87856"/>
    <w:rsid w:val="00AA2195"/>
    <w:rsid w:val="00B61733"/>
    <w:rsid w:val="00BD79CC"/>
    <w:rsid w:val="00C31E8B"/>
    <w:rsid w:val="00C44870"/>
    <w:rsid w:val="00CB2EF0"/>
    <w:rsid w:val="00CC1BD3"/>
    <w:rsid w:val="00CF1D19"/>
    <w:rsid w:val="00D11FB5"/>
    <w:rsid w:val="00D13B52"/>
    <w:rsid w:val="00D800EB"/>
    <w:rsid w:val="00D84534"/>
    <w:rsid w:val="00D9079B"/>
    <w:rsid w:val="00DB2B36"/>
    <w:rsid w:val="00DD662A"/>
    <w:rsid w:val="00DE4D22"/>
    <w:rsid w:val="00E44674"/>
    <w:rsid w:val="00EA2D88"/>
    <w:rsid w:val="00EB4AD6"/>
    <w:rsid w:val="00F05CD0"/>
    <w:rsid w:val="00F2410B"/>
    <w:rsid w:val="00F31606"/>
    <w:rsid w:val="00F32A1C"/>
    <w:rsid w:val="00FD1426"/>
    <w:rsid w:val="00FF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A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198B"/>
  </w:style>
  <w:style w:type="paragraph" w:styleId="Pta">
    <w:name w:val="footer"/>
    <w:basedOn w:val="Normlny"/>
    <w:link w:val="PtaChar"/>
    <w:uiPriority w:val="99"/>
    <w:unhideWhenUsed/>
    <w:rsid w:val="004E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198B"/>
  </w:style>
  <w:style w:type="paragraph" w:styleId="Odsekzoznamu">
    <w:name w:val="List Paragraph"/>
    <w:basedOn w:val="Normlny"/>
    <w:uiPriority w:val="34"/>
    <w:qFormat/>
    <w:rsid w:val="000C11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lavička Char"/>
    <w:basedOn w:val="DefaultParagraphFont"/>
    <w:link w:val="Header"/>
    <w:uiPriority w:val="99"/>
    <w:rsid w:val="004E198B"/>
  </w:style>
  <w:style w:type="paragraph" w:styleId="Footer">
    <w:name w:val="footer"/>
    <w:basedOn w:val="Normal"/>
    <w:link w:val="FooterChar"/>
    <w:uiPriority w:val="99"/>
    <w:unhideWhenUsed/>
    <w:rsid w:val="004E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äta Char"/>
    <w:basedOn w:val="DefaultParagraphFont"/>
    <w:link w:val="Footer"/>
    <w:uiPriority w:val="99"/>
    <w:rsid w:val="004E1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528C0-65C7-4D15-8191-CBD108D8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3016</Words>
  <Characters>17197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SFRB</Company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Fančovičová Renáta</dc:creator>
  <cp:lastModifiedBy>simlovicova</cp:lastModifiedBy>
  <cp:revision>31</cp:revision>
  <dcterms:created xsi:type="dcterms:W3CDTF">2014-01-17T05:57:00Z</dcterms:created>
  <dcterms:modified xsi:type="dcterms:W3CDTF">2014-12-02T06:25:00Z</dcterms:modified>
</cp:coreProperties>
</file>